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5D65F">
      <w:pPr>
        <w:ind w:left="426" w:right="-17"/>
        <w:jc w:val="center"/>
        <w:rPr>
          <w:rFonts w:ascii="Arial" w:hAnsi="Arial" w:cs="Arial"/>
          <w:b/>
        </w:rPr>
      </w:pPr>
      <w:bookmarkStart w:id="0" w:name="_Hlk142658039"/>
      <w:r>
        <w:rPr>
          <w:rFonts w:ascii="Arial" w:hAnsi="Arial" w:cs="Arial"/>
          <w:b/>
        </w:rPr>
        <w:t>ANEXO VII</w:t>
      </w:r>
    </w:p>
    <w:p w14:paraId="46B64F96">
      <w:pPr>
        <w:ind w:left="426" w:right="-17"/>
        <w:jc w:val="center"/>
        <w:rPr>
          <w:rFonts w:ascii="Arial" w:hAnsi="Arial" w:cs="Arial"/>
          <w:b/>
        </w:rPr>
      </w:pPr>
    </w:p>
    <w:p w14:paraId="379AD05E">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177EBF7D">
      <w:pPr>
        <w:ind w:left="426" w:right="-17"/>
        <w:jc w:val="center"/>
        <w:rPr>
          <w:rFonts w:ascii="Arial" w:hAnsi="Arial" w:cs="Arial"/>
          <w:b/>
        </w:rPr>
      </w:pPr>
    </w:p>
    <w:p w14:paraId="2AB63220">
      <w:pPr>
        <w:ind w:left="4253" w:right="-17"/>
        <w:jc w:val="both"/>
        <w:rPr>
          <w:rFonts w:ascii="Arial" w:hAnsi="Arial" w:cs="Arial"/>
          <w:b/>
        </w:rPr>
      </w:pPr>
    </w:p>
    <w:p w14:paraId="1EADE88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4C40076A">
      <w:pPr>
        <w:spacing w:line="276" w:lineRule="auto"/>
        <w:ind w:left="5103" w:right="-17"/>
        <w:jc w:val="both"/>
        <w:rPr>
          <w:rFonts w:ascii="Arial" w:hAnsi="Arial" w:cs="Arial"/>
          <w:b/>
        </w:rPr>
      </w:pPr>
    </w:p>
    <w:bookmarkEnd w:id="1"/>
    <w:p w14:paraId="6E21BCF7">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2.576/2026</w:t>
      </w:r>
      <w:r>
        <w:rPr>
          <w:rFonts w:ascii="Arial" w:hAnsi="Arial" w:cs="Arial"/>
          <w:b/>
          <w:bCs/>
          <w:sz w:val="22"/>
          <w:szCs w:val="22"/>
          <w:highlight w:val="none"/>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90.022/2026</w:t>
      </w:r>
      <w:r>
        <w:rPr>
          <w:rFonts w:ascii="Arial" w:hAnsi="Arial" w:cs="Arial"/>
          <w:sz w:val="22"/>
          <w:szCs w:val="22"/>
        </w:rPr>
        <w:t>, mediante as cláusulas e condições a seguir enunciadas.</w:t>
      </w:r>
    </w:p>
    <w:p w14:paraId="15D1FBCC">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EF57C0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w:t>
      </w:r>
      <w:r>
        <w:rPr>
          <w:rFonts w:ascii="Arial" w:hAnsi="Arial" w:cs="Arial"/>
          <w:b/>
          <w:bCs w:val="0"/>
          <w:iCs/>
          <w:lang w:val="pt-BR" w:eastAsia="pt-BR"/>
        </w:rPr>
        <w:t>CONTRATAÇÃO DE EMPRESA ESPECIALIZADA PARA O FORNECIMENTO DE APARELHOS DE AR-CONDICIONADO PORTÁTIL</w:t>
      </w:r>
      <w:r>
        <w:rPr>
          <w:rFonts w:ascii="Arial" w:hAnsi="Arial" w:cs="Arial"/>
          <w:bCs/>
          <w:iCs/>
        </w:rPr>
        <w:t>, nas condições estabelecidas no Termo de Referência – Anexo I do edital.</w:t>
      </w:r>
    </w:p>
    <w:p w14:paraId="6848277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3013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9DEF885">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9F0C268">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545F038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AA07BE3">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9BD69DE">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93182F">
            <w:pPr>
              <w:pStyle w:val="19"/>
              <w:ind w:left="0"/>
              <w:jc w:val="center"/>
              <w:rPr>
                <w:rFonts w:ascii="Arial" w:hAnsi="Arial" w:cs="Arial"/>
                <w:b/>
              </w:rPr>
            </w:pPr>
            <w:r>
              <w:rPr>
                <w:rFonts w:ascii="Arial" w:hAnsi="Arial" w:cs="Arial"/>
                <w:b/>
              </w:rPr>
              <w:t>VALOR</w:t>
            </w:r>
          </w:p>
        </w:tc>
      </w:tr>
      <w:tr w14:paraId="32C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48FBE36">
            <w:pPr>
              <w:rPr>
                <w:rFonts w:ascii="Arial" w:hAnsi="Arial" w:cs="Arial"/>
              </w:rPr>
            </w:pPr>
          </w:p>
        </w:tc>
        <w:tc>
          <w:tcPr>
            <w:tcW w:w="606" w:type="pct"/>
            <w:vMerge w:val="continue"/>
            <w:shd w:val="clear" w:color="auto" w:fill="D8D8D8"/>
          </w:tcPr>
          <w:p w14:paraId="49811FD8">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AF6F9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46AE2A1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2923C41">
            <w:pPr>
              <w:rPr>
                <w:rFonts w:ascii="Arial" w:hAnsi="Arial" w:cs="Arial"/>
              </w:rPr>
            </w:pPr>
          </w:p>
        </w:tc>
        <w:tc>
          <w:tcPr>
            <w:tcW w:w="839" w:type="pct"/>
            <w:shd w:val="clear" w:color="auto" w:fill="D8D8D8"/>
            <w:tcMar>
              <w:top w:w="0" w:type="dxa"/>
              <w:left w:w="108" w:type="dxa"/>
              <w:bottom w:w="0" w:type="dxa"/>
              <w:right w:w="108" w:type="dxa"/>
            </w:tcMar>
            <w:vAlign w:val="center"/>
          </w:tcPr>
          <w:p w14:paraId="5F1E5969">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A58FC25">
            <w:pPr>
              <w:pStyle w:val="19"/>
              <w:ind w:left="0"/>
              <w:jc w:val="center"/>
              <w:rPr>
                <w:rFonts w:ascii="Arial" w:hAnsi="Arial" w:cs="Arial"/>
                <w:b/>
              </w:rPr>
            </w:pPr>
            <w:r>
              <w:rPr>
                <w:rFonts w:ascii="Arial" w:hAnsi="Arial" w:cs="Arial"/>
                <w:b/>
              </w:rPr>
              <w:t>TOTAL</w:t>
            </w:r>
          </w:p>
        </w:tc>
      </w:tr>
      <w:tr w14:paraId="6E3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BEA9E3B">
            <w:pPr>
              <w:pStyle w:val="38"/>
              <w:jc w:val="center"/>
              <w:rPr>
                <w:rFonts w:ascii="Arial" w:hAnsi="Arial" w:cs="Arial"/>
                <w:b/>
              </w:rPr>
            </w:pPr>
            <w:r>
              <w:rPr>
                <w:rFonts w:ascii="Arial" w:hAnsi="Arial" w:cs="Arial"/>
                <w:b/>
              </w:rPr>
              <w:t>1</w:t>
            </w:r>
          </w:p>
        </w:tc>
        <w:tc>
          <w:tcPr>
            <w:tcW w:w="606" w:type="pct"/>
          </w:tcPr>
          <w:p w14:paraId="42C4E778">
            <w:pPr>
              <w:pStyle w:val="38"/>
              <w:jc w:val="both"/>
              <w:rPr>
                <w:rFonts w:ascii="Arial" w:hAnsi="Arial" w:cs="Arial"/>
              </w:rPr>
            </w:pPr>
          </w:p>
        </w:tc>
        <w:tc>
          <w:tcPr>
            <w:tcW w:w="1328" w:type="pct"/>
            <w:tcMar>
              <w:top w:w="0" w:type="dxa"/>
              <w:left w:w="108" w:type="dxa"/>
              <w:bottom w:w="0" w:type="dxa"/>
              <w:right w:w="108" w:type="dxa"/>
            </w:tcMar>
            <w:vAlign w:val="center"/>
          </w:tcPr>
          <w:p w14:paraId="16F0BC9D">
            <w:pPr>
              <w:pStyle w:val="38"/>
              <w:jc w:val="both"/>
              <w:rPr>
                <w:rFonts w:ascii="Arial" w:hAnsi="Arial" w:cs="Arial"/>
              </w:rPr>
            </w:pPr>
          </w:p>
        </w:tc>
        <w:tc>
          <w:tcPr>
            <w:tcW w:w="534" w:type="pct"/>
            <w:tcMar>
              <w:top w:w="0" w:type="dxa"/>
              <w:left w:w="108" w:type="dxa"/>
              <w:bottom w:w="0" w:type="dxa"/>
              <w:right w:w="108" w:type="dxa"/>
            </w:tcMar>
            <w:vAlign w:val="center"/>
          </w:tcPr>
          <w:p w14:paraId="5CB77E9A">
            <w:pPr>
              <w:pStyle w:val="38"/>
              <w:jc w:val="center"/>
              <w:rPr>
                <w:rFonts w:ascii="Arial" w:hAnsi="Arial" w:cs="Arial"/>
              </w:rPr>
            </w:pPr>
          </w:p>
        </w:tc>
        <w:tc>
          <w:tcPr>
            <w:tcW w:w="583" w:type="pct"/>
            <w:tcMar>
              <w:top w:w="0" w:type="dxa"/>
              <w:left w:w="108" w:type="dxa"/>
              <w:bottom w:w="0" w:type="dxa"/>
              <w:right w:w="108" w:type="dxa"/>
            </w:tcMar>
            <w:vAlign w:val="center"/>
          </w:tcPr>
          <w:p w14:paraId="0680BB6E">
            <w:pPr>
              <w:pStyle w:val="38"/>
              <w:jc w:val="center"/>
              <w:rPr>
                <w:rFonts w:ascii="Arial" w:hAnsi="Arial" w:cs="Arial"/>
                <w:b/>
              </w:rPr>
            </w:pPr>
          </w:p>
        </w:tc>
        <w:tc>
          <w:tcPr>
            <w:tcW w:w="839" w:type="pct"/>
            <w:tcMar>
              <w:top w:w="0" w:type="dxa"/>
              <w:left w:w="108" w:type="dxa"/>
              <w:bottom w:w="0" w:type="dxa"/>
              <w:right w:w="108" w:type="dxa"/>
            </w:tcMar>
            <w:vAlign w:val="center"/>
          </w:tcPr>
          <w:p w14:paraId="13A32A81">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5A24B89">
            <w:pPr>
              <w:pStyle w:val="38"/>
              <w:spacing w:after="0" w:line="240" w:lineRule="auto"/>
              <w:jc w:val="right"/>
              <w:rPr>
                <w:rFonts w:ascii="Arial" w:hAnsi="Arial" w:cs="Arial"/>
                <w:b/>
                <w:bCs/>
              </w:rPr>
            </w:pPr>
          </w:p>
        </w:tc>
      </w:tr>
      <w:tr w14:paraId="065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563AB0F">
            <w:pPr>
              <w:pStyle w:val="38"/>
              <w:jc w:val="center"/>
              <w:rPr>
                <w:rFonts w:ascii="Arial" w:hAnsi="Arial" w:cs="Arial"/>
                <w:b/>
              </w:rPr>
            </w:pPr>
            <w:r>
              <w:rPr>
                <w:rFonts w:ascii="Arial" w:hAnsi="Arial" w:cs="Arial"/>
                <w:b/>
              </w:rPr>
              <w:t>…</w:t>
            </w:r>
          </w:p>
        </w:tc>
        <w:tc>
          <w:tcPr>
            <w:tcW w:w="606" w:type="pct"/>
          </w:tcPr>
          <w:p w14:paraId="3BA639F0">
            <w:pPr>
              <w:pStyle w:val="38"/>
              <w:jc w:val="both"/>
              <w:rPr>
                <w:rFonts w:ascii="Arial" w:hAnsi="Arial" w:cs="Arial"/>
              </w:rPr>
            </w:pPr>
          </w:p>
        </w:tc>
        <w:tc>
          <w:tcPr>
            <w:tcW w:w="1328" w:type="pct"/>
            <w:tcMar>
              <w:top w:w="0" w:type="dxa"/>
              <w:left w:w="108" w:type="dxa"/>
              <w:bottom w:w="0" w:type="dxa"/>
              <w:right w:w="108" w:type="dxa"/>
            </w:tcMar>
            <w:vAlign w:val="center"/>
          </w:tcPr>
          <w:p w14:paraId="73097DB5">
            <w:pPr>
              <w:pStyle w:val="38"/>
              <w:jc w:val="both"/>
              <w:rPr>
                <w:rFonts w:ascii="Arial" w:hAnsi="Arial" w:cs="Arial"/>
              </w:rPr>
            </w:pPr>
          </w:p>
        </w:tc>
        <w:tc>
          <w:tcPr>
            <w:tcW w:w="534" w:type="pct"/>
            <w:tcMar>
              <w:top w:w="0" w:type="dxa"/>
              <w:left w:w="108" w:type="dxa"/>
              <w:bottom w:w="0" w:type="dxa"/>
              <w:right w:w="108" w:type="dxa"/>
            </w:tcMar>
            <w:vAlign w:val="center"/>
          </w:tcPr>
          <w:p w14:paraId="01F30996">
            <w:pPr>
              <w:pStyle w:val="38"/>
              <w:jc w:val="center"/>
              <w:rPr>
                <w:rFonts w:ascii="Arial" w:hAnsi="Arial" w:cs="Arial"/>
              </w:rPr>
            </w:pPr>
          </w:p>
        </w:tc>
        <w:tc>
          <w:tcPr>
            <w:tcW w:w="583" w:type="pct"/>
            <w:tcMar>
              <w:top w:w="0" w:type="dxa"/>
              <w:left w:w="108" w:type="dxa"/>
              <w:bottom w:w="0" w:type="dxa"/>
              <w:right w:w="108" w:type="dxa"/>
            </w:tcMar>
            <w:vAlign w:val="center"/>
          </w:tcPr>
          <w:p w14:paraId="63C36B19">
            <w:pPr>
              <w:pStyle w:val="38"/>
              <w:jc w:val="center"/>
              <w:rPr>
                <w:rFonts w:ascii="Arial" w:hAnsi="Arial" w:cs="Arial"/>
                <w:b/>
              </w:rPr>
            </w:pPr>
          </w:p>
        </w:tc>
        <w:tc>
          <w:tcPr>
            <w:tcW w:w="839" w:type="pct"/>
            <w:tcMar>
              <w:top w:w="0" w:type="dxa"/>
              <w:left w:w="108" w:type="dxa"/>
              <w:bottom w:w="0" w:type="dxa"/>
              <w:right w:w="108" w:type="dxa"/>
            </w:tcMar>
            <w:vAlign w:val="center"/>
          </w:tcPr>
          <w:p w14:paraId="5AF09359">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5A519213">
            <w:pPr>
              <w:pStyle w:val="38"/>
              <w:spacing w:after="0" w:line="240" w:lineRule="auto"/>
              <w:jc w:val="right"/>
              <w:rPr>
                <w:rFonts w:ascii="Arial" w:hAnsi="Arial" w:cs="Arial"/>
                <w:b/>
                <w:bCs/>
              </w:rPr>
            </w:pPr>
          </w:p>
        </w:tc>
      </w:tr>
    </w:tbl>
    <w:p w14:paraId="47BC69CC">
      <w:pPr>
        <w:pStyle w:val="19"/>
        <w:widowControl/>
        <w:tabs>
          <w:tab w:val="left" w:pos="426"/>
        </w:tabs>
        <w:autoSpaceDE/>
        <w:autoSpaceDN/>
        <w:spacing w:before="120" w:after="120" w:line="276" w:lineRule="auto"/>
        <w:ind w:left="0"/>
        <w:jc w:val="both"/>
        <w:rPr>
          <w:rFonts w:ascii="Arial" w:hAnsi="Arial" w:cs="Arial"/>
          <w:iCs/>
        </w:rPr>
      </w:pPr>
    </w:p>
    <w:p w14:paraId="320F426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0E72776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85A8C8B">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4CE953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671444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391733F1">
      <w:pPr>
        <w:pStyle w:val="19"/>
        <w:widowControl/>
        <w:tabs>
          <w:tab w:val="left" w:pos="426"/>
        </w:tabs>
        <w:autoSpaceDE/>
        <w:autoSpaceDN/>
        <w:spacing w:before="120" w:after="120" w:line="276" w:lineRule="auto"/>
        <w:ind w:left="862"/>
        <w:jc w:val="both"/>
        <w:rPr>
          <w:rFonts w:ascii="Arial" w:hAnsi="Arial" w:cs="Arial"/>
          <w:bCs/>
        </w:rPr>
      </w:pPr>
    </w:p>
    <w:p w14:paraId="30E3A394">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3C15946C">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prazo de vigência da contratação é de .............................. contados do(a) ............................., na forma do </w:t>
      </w:r>
      <w:r>
        <w:fldChar w:fldCharType="begin"/>
      </w:r>
      <w:r>
        <w:instrText xml:space="preserve"> HYPERLINK "http://www.planalto.gov.br/ccivil_03/_ato2019-2022/2021/lei/L14133.htm" \l "art105" </w:instrText>
      </w:r>
      <w:r>
        <w:fldChar w:fldCharType="separate"/>
      </w:r>
      <w:r>
        <w:rPr>
          <w:rFonts w:ascii="Arial" w:hAnsi="Arial" w:cs="Arial"/>
        </w:rPr>
        <w:t>artigo 105 da Lei n° 14.133, de 2021</w:t>
      </w:r>
      <w:r>
        <w:rPr>
          <w:rFonts w:ascii="Arial" w:hAnsi="Arial" w:cs="Arial"/>
        </w:rPr>
        <w:fldChar w:fldCharType="end"/>
      </w:r>
      <w:r>
        <w:rPr>
          <w:rFonts w:ascii="Arial" w:hAnsi="Arial" w:cs="Arial"/>
          <w:bCs/>
          <w:iCs/>
        </w:rPr>
        <w:t>.</w:t>
      </w:r>
    </w:p>
    <w:p w14:paraId="22EBC8C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14:paraId="3B7C54EB">
      <w:pPr>
        <w:pStyle w:val="19"/>
        <w:widowControl/>
        <w:tabs>
          <w:tab w:val="left" w:pos="426"/>
        </w:tabs>
        <w:autoSpaceDE/>
        <w:autoSpaceDN/>
        <w:spacing w:before="120" w:after="120" w:line="276" w:lineRule="auto"/>
        <w:ind w:left="0"/>
        <w:jc w:val="both"/>
        <w:rPr>
          <w:rFonts w:ascii="Arial" w:hAnsi="Arial" w:cs="Arial"/>
          <w:bCs/>
          <w:iCs/>
          <w:color w:val="FF0000"/>
        </w:rPr>
      </w:pPr>
    </w:p>
    <w:p w14:paraId="7E212254">
      <w:pPr>
        <w:pStyle w:val="19"/>
        <w:numPr>
          <w:ilvl w:val="0"/>
          <w:numId w:val="3"/>
        </w:numPr>
        <w:tabs>
          <w:tab w:val="left" w:pos="284"/>
        </w:tabs>
        <w:spacing w:line="276" w:lineRule="auto"/>
        <w:ind w:left="0" w:firstLine="0"/>
        <w:jc w:val="both"/>
        <w:rPr>
          <w:rFonts w:hint="default" w:ascii="Calibri" w:hAnsi="Calibri"/>
          <w:lang w:val="pt-BR"/>
        </w:rPr>
      </w:pPr>
      <w:r>
        <w:rPr>
          <w:rFonts w:ascii="Arial" w:hAnsi="Arial" w:cs="Arial" w:eastAsiaTheme="majorEastAsia"/>
          <w:b/>
          <w:bCs/>
          <w:lang w:val="pt-BR" w:eastAsia="pt-BR"/>
        </w:rPr>
        <w:t>CLÁUSULA TERCEIRA – MODELOS DE EXECUÇÃO E GESTÃO CONTRATUAIS (art. 92, IV, VII e XVIII)</w:t>
      </w:r>
    </w:p>
    <w:p w14:paraId="579C14E6">
      <w:pPr>
        <w:pStyle w:val="19"/>
        <w:numPr>
          <w:ilvl w:val="0"/>
          <w:numId w:val="0"/>
        </w:numPr>
        <w:tabs>
          <w:tab w:val="left" w:pos="284"/>
        </w:tabs>
        <w:spacing w:line="276" w:lineRule="auto"/>
        <w:ind w:leftChars="0"/>
        <w:jc w:val="both"/>
        <w:rPr>
          <w:rFonts w:hint="default" w:ascii="Calibri" w:hAnsi="Calibri"/>
          <w:u w:val="single"/>
          <w:lang w:val="pt-BR"/>
        </w:rPr>
      </w:pPr>
      <w:r>
        <w:rPr>
          <w:rFonts w:hint="default" w:ascii="Calibri" w:hAnsi="Calibri" w:cs="Calibri"/>
          <w:b/>
          <w:color w:val="000000"/>
          <w:u w:val="single"/>
          <w:lang w:val="pt-BR"/>
        </w:rPr>
        <w:t xml:space="preserve">3.1 </w:t>
      </w:r>
      <w:r>
        <w:rPr>
          <w:rFonts w:ascii="Calibri" w:hAnsi="Calibri" w:cs="Calibri"/>
          <w:b/>
          <w:color w:val="000000"/>
          <w:u w:val="single"/>
        </w:rPr>
        <w:t>MODELO DE EXECUÇÃO DO OBJETO (arts. 6º, XXIII, alínea “e” e 40, §1º, inciso II, da Lei nº 14.133/2021</w:t>
      </w:r>
      <w:r>
        <w:rPr>
          <w:rFonts w:hint="default" w:ascii="Calibri" w:hAnsi="Calibri" w:cs="Calibri"/>
          <w:b/>
          <w:color w:val="000000"/>
          <w:u w:val="single"/>
          <w:lang w:val="pt-BR"/>
        </w:rPr>
        <w:t>):</w:t>
      </w:r>
    </w:p>
    <w:p w14:paraId="116C4F25">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w:t>
      </w:r>
      <w:r>
        <w:rPr>
          <w:rFonts w:ascii="Arial" w:hAnsi="Arial" w:cs="Arial"/>
          <w:bCs/>
          <w:iCs/>
        </w:rPr>
        <w:t>1 O fornecimento será efetuado conforme conveniência e necessidade, a serem determinados pelo setor de ALMOXARIFADO DA SECRETARIA MUNICIPAL DE EDUCAÇÃO, com prazo de entrega não superior a 20 (vinte dias) dias úteis, contados do recebimento da Nota de Empenho, autorização de fornecimento ou documento equivalente, no seguinte endereço:</w:t>
      </w:r>
    </w:p>
    <w:tbl>
      <w:tblPr>
        <w:tblStyle w:val="6"/>
        <w:tblW w:w="5000" w:type="pct"/>
        <w:tblInd w:w="28" w:type="dxa"/>
        <w:tblLayout w:type="fixed"/>
        <w:tblCellMar>
          <w:top w:w="28" w:type="dxa"/>
          <w:left w:w="28" w:type="dxa"/>
          <w:bottom w:w="28" w:type="dxa"/>
          <w:right w:w="28" w:type="dxa"/>
        </w:tblCellMar>
      </w:tblPr>
      <w:tblGrid>
        <w:gridCol w:w="3421"/>
        <w:gridCol w:w="5709"/>
      </w:tblGrid>
      <w:tr w14:paraId="1F9E10BE">
        <w:tblPrEx>
          <w:tblCellMar>
            <w:top w:w="28" w:type="dxa"/>
            <w:left w:w="28" w:type="dxa"/>
            <w:bottom w:w="28" w:type="dxa"/>
            <w:right w:w="28" w:type="dxa"/>
          </w:tblCellMar>
        </w:tblPrEx>
        <w:tc>
          <w:tcPr>
            <w:tcW w:w="3399" w:type="dxa"/>
            <w:tcBorders>
              <w:top w:val="single" w:color="000000" w:sz="2" w:space="0"/>
              <w:left w:val="single" w:color="000000" w:sz="2" w:space="0"/>
              <w:bottom w:val="single" w:color="000000" w:sz="2" w:space="0"/>
            </w:tcBorders>
          </w:tcPr>
          <w:p w14:paraId="7180767A">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ascii="Arial" w:hAnsi="Arial" w:cs="Arial"/>
                <w:b/>
                <w:bCs w:val="0"/>
                <w:iCs/>
              </w:rPr>
              <w:t>Nome do Requisitante:</w:t>
            </w:r>
          </w:p>
        </w:tc>
        <w:tc>
          <w:tcPr>
            <w:tcW w:w="5671" w:type="dxa"/>
            <w:tcBorders>
              <w:top w:val="single" w:color="000000" w:sz="2" w:space="0"/>
              <w:bottom w:val="single" w:color="000000" w:sz="2" w:space="0"/>
              <w:right w:val="single" w:color="000000" w:sz="2" w:space="0"/>
            </w:tcBorders>
          </w:tcPr>
          <w:p w14:paraId="55494F85">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ascii="Arial" w:hAnsi="Arial" w:cs="Arial"/>
                <w:bCs/>
                <w:iCs/>
              </w:rPr>
              <w:t>Almoxarifado da Secretaria Municipal de Educação</w:t>
            </w:r>
          </w:p>
        </w:tc>
      </w:tr>
      <w:tr w14:paraId="0BECA840">
        <w:tblPrEx>
          <w:tblCellMar>
            <w:top w:w="28" w:type="dxa"/>
            <w:left w:w="28" w:type="dxa"/>
            <w:bottom w:w="28" w:type="dxa"/>
            <w:right w:w="28" w:type="dxa"/>
          </w:tblCellMar>
        </w:tblPrEx>
        <w:tc>
          <w:tcPr>
            <w:tcW w:w="3399" w:type="dxa"/>
            <w:tcBorders>
              <w:left w:val="single" w:color="000000" w:sz="2" w:space="0"/>
              <w:bottom w:val="single" w:color="000000" w:sz="2" w:space="0"/>
            </w:tcBorders>
          </w:tcPr>
          <w:p w14:paraId="6C999998">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ascii="Arial" w:hAnsi="Arial" w:cs="Arial"/>
                <w:b/>
                <w:bCs w:val="0"/>
                <w:iCs/>
              </w:rPr>
              <w:t>Dados para contato:</w:t>
            </w:r>
          </w:p>
        </w:tc>
        <w:tc>
          <w:tcPr>
            <w:tcW w:w="5671" w:type="dxa"/>
            <w:tcBorders>
              <w:bottom w:val="single" w:color="000000" w:sz="2" w:space="0"/>
              <w:right w:val="single" w:color="000000" w:sz="2" w:space="0"/>
            </w:tcBorders>
          </w:tcPr>
          <w:p w14:paraId="6F21A3F0">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ascii="Arial" w:hAnsi="Arial" w:cs="Arial"/>
                <w:bCs/>
                <w:iCs/>
              </w:rPr>
              <w:t>Telefone: (22) 2529-3388</w:t>
            </w:r>
          </w:p>
          <w:p w14:paraId="58CAD653">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ascii="Arial" w:hAnsi="Arial" w:cs="Arial"/>
                <w:bCs/>
                <w:iCs/>
              </w:rPr>
              <w:t>E-mail: almoxarifado@sme.novafriburgo.rj.gov.br</w:t>
            </w:r>
          </w:p>
        </w:tc>
      </w:tr>
      <w:tr w14:paraId="4C37B25C">
        <w:tblPrEx>
          <w:tblCellMar>
            <w:top w:w="28" w:type="dxa"/>
            <w:left w:w="28" w:type="dxa"/>
            <w:bottom w:w="28" w:type="dxa"/>
            <w:right w:w="28" w:type="dxa"/>
          </w:tblCellMar>
        </w:tblPrEx>
        <w:tc>
          <w:tcPr>
            <w:tcW w:w="3399" w:type="dxa"/>
            <w:tcBorders>
              <w:left w:val="single" w:color="000000" w:sz="2" w:space="0"/>
              <w:bottom w:val="single" w:color="000000" w:sz="2" w:space="0"/>
            </w:tcBorders>
          </w:tcPr>
          <w:p w14:paraId="64BA616A">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ascii="Arial" w:hAnsi="Arial" w:cs="Arial"/>
                <w:b/>
                <w:bCs w:val="0"/>
                <w:iCs/>
              </w:rPr>
              <w:t>Endereço de entrega:</w:t>
            </w:r>
          </w:p>
        </w:tc>
        <w:tc>
          <w:tcPr>
            <w:tcW w:w="5671" w:type="dxa"/>
            <w:tcBorders>
              <w:bottom w:val="single" w:color="000000" w:sz="2" w:space="0"/>
              <w:right w:val="single" w:color="000000" w:sz="2" w:space="0"/>
            </w:tcBorders>
          </w:tcPr>
          <w:p w14:paraId="658BE97D">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ascii="Arial" w:hAnsi="Arial" w:cs="Arial"/>
                <w:b/>
                <w:bCs w:val="0"/>
                <w:iCs/>
              </w:rPr>
              <w:t>Rua</w:t>
            </w:r>
            <w:r>
              <w:rPr>
                <w:rFonts w:ascii="Arial" w:hAnsi="Arial" w:cs="Arial"/>
                <w:bCs/>
                <w:iCs/>
              </w:rPr>
              <w:t>: Avenida Antônio Mario de Azevedo, nº. 2.838, Área Via-A, bairro Córrego D’Antas - Nova Friburgo/RJ - CEP: 28.630-310</w:t>
            </w:r>
          </w:p>
          <w:p w14:paraId="154BA5DE">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ascii="Arial" w:hAnsi="Arial" w:cs="Arial"/>
                <w:b/>
                <w:bCs w:val="0"/>
                <w:iCs/>
              </w:rPr>
              <w:t>Ref</w:t>
            </w:r>
            <w:r>
              <w:rPr>
                <w:rFonts w:ascii="Arial" w:hAnsi="Arial" w:cs="Arial"/>
                <w:bCs/>
                <w:iCs/>
              </w:rPr>
              <w:t>: Estrada Friburgo - Teresópolis, km 2 - Antiga Nacif</w:t>
            </w:r>
          </w:p>
          <w:p w14:paraId="3154935F">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ascii="Arial" w:hAnsi="Arial" w:cs="Arial"/>
                <w:bCs/>
                <w:iCs/>
              </w:rPr>
              <w:t>Papéis (Ao lado do Motel Happy End)</w:t>
            </w:r>
          </w:p>
        </w:tc>
      </w:tr>
      <w:tr w14:paraId="3BBDD425">
        <w:tblPrEx>
          <w:tblCellMar>
            <w:top w:w="28" w:type="dxa"/>
            <w:left w:w="28" w:type="dxa"/>
            <w:bottom w:w="28" w:type="dxa"/>
            <w:right w:w="28" w:type="dxa"/>
          </w:tblCellMar>
        </w:tblPrEx>
        <w:tc>
          <w:tcPr>
            <w:tcW w:w="3399" w:type="dxa"/>
            <w:tcBorders>
              <w:left w:val="single" w:color="000000" w:sz="2" w:space="0"/>
              <w:bottom w:val="single" w:color="000000" w:sz="2" w:space="0"/>
            </w:tcBorders>
          </w:tcPr>
          <w:p w14:paraId="2AA2483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ascii="Arial" w:hAnsi="Arial" w:cs="Arial"/>
                <w:b/>
                <w:bCs w:val="0"/>
                <w:iCs/>
              </w:rPr>
              <w:t>Horário de entrega e descarga:</w:t>
            </w:r>
          </w:p>
        </w:tc>
        <w:tc>
          <w:tcPr>
            <w:tcW w:w="5671" w:type="dxa"/>
            <w:tcBorders>
              <w:bottom w:val="single" w:color="000000" w:sz="2" w:space="0"/>
              <w:right w:val="single" w:color="000000" w:sz="2" w:space="0"/>
            </w:tcBorders>
          </w:tcPr>
          <w:p w14:paraId="7320AC7C">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ascii="Arial" w:hAnsi="Arial" w:cs="Arial"/>
                <w:bCs/>
                <w:iCs/>
              </w:rPr>
              <w:t>De 07:30 até às 14:30 horas - de segunda a quinta-feira (impreterivelmente).</w:t>
            </w:r>
          </w:p>
          <w:p w14:paraId="6A5504FB">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ascii="Arial" w:hAnsi="Arial" w:cs="Arial"/>
                <w:b/>
                <w:bCs w:val="0"/>
                <w:iCs/>
              </w:rPr>
              <w:t>É IMPRESCINDÍVEL O AGENDAMENTO PRÉVIO PARA ENTREGA ATRAVÉS DOS MEIOS DE CONTATO ACIMA</w:t>
            </w:r>
          </w:p>
        </w:tc>
      </w:tr>
    </w:tbl>
    <w:p w14:paraId="7205BA24">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p>
    <w:p w14:paraId="22567C4C">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w:t>
      </w:r>
      <w:r>
        <w:rPr>
          <w:rFonts w:ascii="Arial" w:hAnsi="Arial" w:cs="Arial"/>
          <w:bCs/>
          <w:iCs/>
        </w:rPr>
        <w:t>.2</w:t>
      </w:r>
      <w:r>
        <w:rPr>
          <w:rFonts w:hint="default" w:ascii="Arial" w:hAnsi="Arial" w:cs="Arial"/>
          <w:bCs/>
          <w:iCs/>
          <w:lang w:val="pt-BR"/>
        </w:rPr>
        <w:t xml:space="preserve"> </w:t>
      </w:r>
      <w:r>
        <w:rPr>
          <w:rFonts w:ascii="Arial" w:hAnsi="Arial" w:cs="Arial"/>
          <w:bCs/>
          <w:iCs/>
        </w:rPr>
        <w:t>Cabe ressaltar que a solicitação inicial será de 100 (cem) unidades, as quais serão destinadas, em um primeiro momento, ao atendimento das unidades escolares que demandam o equipamento de forma imediata, especialmente aquelas que possuem berçário, maternal, pré-escola ou atendimento em período integral.</w:t>
      </w:r>
    </w:p>
    <w:p w14:paraId="3ADD35F0">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3.1.3</w:t>
      </w:r>
      <w:r>
        <w:rPr>
          <w:rFonts w:ascii="Arial" w:hAnsi="Arial" w:cs="Arial"/>
          <w:bCs/>
          <w:iCs/>
        </w:rPr>
        <w:t xml:space="preserve"> Os bens serão recebidos provisoriamente, de forma sumária, no prazo de 02 (dois) dias, juntamente com a nota fiscal pelo (a) responsável por seu acompanhamento e fiscalização do contrato, para efeito de posterior verificação de sua conformidade com as especificações constantes neste Termo de Referência e na proposta;</w:t>
      </w:r>
    </w:p>
    <w:p w14:paraId="34DEB869">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3.1.4</w:t>
      </w:r>
      <w:r>
        <w:rPr>
          <w:rFonts w:ascii="Arial" w:hAnsi="Arial" w:cs="Arial"/>
          <w:bCs/>
          <w:iCs/>
        </w:rPr>
        <w:t>. Os bens poderão ser rejeitados, no todo ou em parte, quando em desacordo com as especificações constantes neste Termo de Referência e na proposta, devendo ser substituídos no prazo de 03 (três) dias, a contar da notificação da contratada, às suas custas, sem prejuízo da aplicação das penalidades;</w:t>
      </w:r>
    </w:p>
    <w:p w14:paraId="2AA0C540">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3.1.5</w:t>
      </w:r>
      <w:r>
        <w:rPr>
          <w:rFonts w:ascii="Arial" w:hAnsi="Arial" w:cs="Arial"/>
          <w:bCs/>
          <w:iCs/>
        </w:rPr>
        <w:t xml:space="preserve"> Os bens serão recebidos definitivamente no prazo de 3 (três) dias, a contar do recebimento provisório, após a verificação da qualidade e quantidade do material e consequente aceitação mediante termo detalhado que comprove o atendimento das exigências contratuais;</w:t>
      </w:r>
    </w:p>
    <w:p w14:paraId="5A1602B2">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3.1.6</w:t>
      </w:r>
      <w:r>
        <w:rPr>
          <w:rFonts w:ascii="Arial" w:hAnsi="Arial" w:cs="Arial"/>
          <w:bCs/>
          <w:iCs/>
        </w:rPr>
        <w:t xml:space="preserve"> Na hipótese de a verificação a que se refere o subitem anterior não ser procedida dentro do prazo fixado, reputar-se-á como realizada, consumando-se o recebimento definitivo no dia do esgotamento do prazo;</w:t>
      </w:r>
    </w:p>
    <w:p w14:paraId="497D0E44">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3.1.7</w:t>
      </w:r>
      <w:r>
        <w:rPr>
          <w:rFonts w:ascii="Arial" w:hAnsi="Arial" w:cs="Arial"/>
          <w:bCs/>
          <w:iCs/>
        </w:rPr>
        <w:t xml:space="preserve"> 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14:paraId="10A98CF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3.1.8</w:t>
      </w:r>
      <w:r>
        <w:rPr>
          <w:rFonts w:ascii="Arial" w:hAnsi="Arial" w:cs="Arial"/>
          <w:bCs/>
          <w:iCs/>
        </w:rPr>
        <w:t xml:space="preserve"> O recebimento provisório ou definitivo não excluirá a responsabilidade civil pela solidez e pela segurança do serviço nem a responsabilidade ético-profissional pela perfeita execução do contrato, nos termos do artigo 140, § 2º da Lei 14.133/2021;</w:t>
      </w:r>
    </w:p>
    <w:p w14:paraId="5C71A8AD">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3.1.9</w:t>
      </w:r>
      <w:r>
        <w:rPr>
          <w:rFonts w:ascii="Arial" w:hAnsi="Arial" w:cs="Arial"/>
          <w:bCs/>
          <w:iCs/>
        </w:rPr>
        <w:t xml:space="preserve"> O prazo de garantia contratual dos bens, complementar à garantia legal, é de, no mínimo, 12 (doze) meses, ou pelo prazo fornecido pelo fabricante, se superior, contado a partir do primeiro dia útil subsequente à data do recebimento definitivo do objeto; </w:t>
      </w:r>
    </w:p>
    <w:p w14:paraId="00CCFD1C">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3.1.10</w:t>
      </w:r>
      <w:r>
        <w:rPr>
          <w:rFonts w:ascii="Arial" w:hAnsi="Arial" w:cs="Arial"/>
          <w:bCs/>
          <w:iCs/>
        </w:rPr>
        <w:t xml:space="preserve"> A garantia será prestada com vistas a manter os equipamentos fornecidos em perfeitas condições de uso, sem qualquer ônus ou custo adicional para o contratante; </w:t>
      </w:r>
    </w:p>
    <w:p w14:paraId="17AC14E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3.1.11</w:t>
      </w:r>
      <w:r>
        <w:rPr>
          <w:rFonts w:ascii="Arial" w:hAnsi="Arial" w:cs="Arial"/>
          <w:bCs/>
          <w:iCs/>
        </w:rPr>
        <w:t xml:space="preserve"> A garantia abrange a realização da manutenção corretiva dos bens pelo próprio contratado, ou, se for o caso, por meio de assistência técnica autorizada, de acordo com as normas técnicas específicas;</w:t>
      </w:r>
    </w:p>
    <w:p w14:paraId="705CDA92">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3.1.12</w:t>
      </w:r>
      <w:r>
        <w:rPr>
          <w:rFonts w:ascii="Arial" w:hAnsi="Arial" w:cs="Arial"/>
          <w:bCs/>
          <w:iCs/>
        </w:rPr>
        <w:t xml:space="preserve"> Entende-se por manutenção corretiva aquela destinada a corrigir os defeitos apresentados pelos bens, compreendendo a substituição de peças, a realização de ajustes, reparos e correções necessárias; </w:t>
      </w:r>
    </w:p>
    <w:p w14:paraId="37E28BC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3.1.13</w:t>
      </w:r>
      <w:r>
        <w:rPr>
          <w:rFonts w:ascii="Arial" w:hAnsi="Arial" w:cs="Arial"/>
          <w:bCs/>
          <w:iCs/>
        </w:rPr>
        <w:t xml:space="preserve">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57512F48">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3.1.14</w:t>
      </w:r>
      <w:r>
        <w:rPr>
          <w:rFonts w:ascii="Arial" w:hAnsi="Arial" w:cs="Arial"/>
          <w:bCs/>
          <w:iCs/>
        </w:rPr>
        <w:t xml:space="preserve"> Uma vez notificado, o contratado realizará a reparação ou substituição dos bens que apresentarem vício ou defeito no prazo de até 20 (vinte) dias úteis, contados a partir da data de retirada do equipamento das dependências da Administração pelo contratado ou pela assistência técnica autorizada;</w:t>
      </w:r>
    </w:p>
    <w:p w14:paraId="20640F69">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3.1.15</w:t>
      </w:r>
      <w:r>
        <w:rPr>
          <w:rFonts w:ascii="Arial" w:hAnsi="Arial" w:cs="Arial"/>
          <w:bCs/>
          <w:iCs/>
        </w:rPr>
        <w:t xml:space="preserve"> O prazo indicado no subitem anterior, durante seu transcurso, poderá ser prorrogado uma única vez, por igual período, mediante solicitação escrita e justificada do contratado, aceita pelo contratante;</w:t>
      </w:r>
    </w:p>
    <w:p w14:paraId="737403FC">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3.1.16</w:t>
      </w:r>
      <w:r>
        <w:rPr>
          <w:rFonts w:ascii="Arial" w:hAnsi="Arial" w:cs="Arial"/>
          <w:bCs/>
          <w:iCs/>
        </w:rPr>
        <w:t xml:space="preserve">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33C8353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3.1.17</w:t>
      </w:r>
      <w:r>
        <w:rPr>
          <w:rFonts w:ascii="Arial" w:hAnsi="Arial" w:cs="Arial"/>
          <w:bCs/>
          <w:iCs/>
        </w:rPr>
        <w:t xml:space="preserve">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4801846D">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3.1.18</w:t>
      </w:r>
      <w:r>
        <w:rPr>
          <w:rFonts w:ascii="Arial" w:hAnsi="Arial" w:cs="Arial"/>
          <w:bCs/>
          <w:iCs/>
        </w:rPr>
        <w:t xml:space="preserve"> O custo referente ao transporte dos equipamentos cobertos pela garantia será de responsabilidade do contratado; </w:t>
      </w:r>
    </w:p>
    <w:p w14:paraId="58834C84">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3.1.19</w:t>
      </w:r>
      <w:r>
        <w:rPr>
          <w:rFonts w:ascii="Arial" w:hAnsi="Arial" w:cs="Arial"/>
          <w:bCs/>
          <w:iCs/>
        </w:rPr>
        <w:t xml:space="preserve">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50FB6AAA">
      <w:pPr>
        <w:pStyle w:val="19"/>
        <w:numPr>
          <w:ilvl w:val="0"/>
          <w:numId w:val="0"/>
        </w:numPr>
        <w:tabs>
          <w:tab w:val="left" w:pos="284"/>
        </w:tabs>
        <w:spacing w:line="276" w:lineRule="auto"/>
        <w:ind w:leftChars="0"/>
        <w:jc w:val="both"/>
        <w:rPr>
          <w:rFonts w:hint="default" w:ascii="Calibri" w:hAnsi="Calibri" w:cs="Calibri"/>
          <w:b/>
          <w:color w:val="000000"/>
          <w:u w:val="single"/>
          <w:lang w:val="pt-BR"/>
        </w:rPr>
      </w:pPr>
      <w:r>
        <w:rPr>
          <w:rFonts w:hint="default" w:ascii="Calibri" w:hAnsi="Calibri" w:cs="Calibri"/>
          <w:b/>
          <w:color w:val="000000"/>
          <w:u w:val="single"/>
          <w:lang w:val="pt-BR"/>
        </w:rPr>
        <w:t>3.2 MODELO DE GESTÃO DO CONTRATO (art. 6º, XXIII, alínea “f”, da Lei nº 14.133/21):</w:t>
      </w:r>
    </w:p>
    <w:p w14:paraId="68F858AD">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14:paraId="1F095DE9">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3.2.2 A execução do contrato deverá ser acompanhada e fiscalizada pelo(s) fiscal(is) do contrato, ou pelos respectivos substitutos (Lei nº 14.133/2021, art. 117, caput);</w:t>
      </w:r>
    </w:p>
    <w:p w14:paraId="7B9320C2">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3.2.3  O fiscal do contrato anotará em registro próprio todas as ocorrências relacionadas à execução do contrato, determinando o que for necessário para a regularização das faltas ou dos defeitos observados (Lei nº 14.133/2021, art. 117, §1º);</w:t>
      </w:r>
    </w:p>
    <w:p w14:paraId="4637615D">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3.2.4 O fiscal do contrato informará a seus superiores, em tempo hábil para a adoção das medidas convenientes, a situação que demandar decisão ou providência que ultrapasse sua competência (Lei nº 14.133/2021, art. 117, §2º);</w:t>
      </w:r>
    </w:p>
    <w:p w14:paraId="518E2BD7">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3.2.5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6DEA8585">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3.2.6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264DA99D">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3.2.7 As comunicações entre o órgão ou entidade e a contratada devem ser realizadas por escrito sempre que o ato exigir tal formalidade, admitindo-se, excepcionalmente, o uso de mensagem eletrônica para esse fim (IN 5/2017, art. 44, §2º);</w:t>
      </w:r>
    </w:p>
    <w:p w14:paraId="701789EE">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3.2.8 O órgão ou entidade poderá convocar representante da empresa para adoção de providências que devam ser cumpridas de imediato (IN 5/2017, art. 44, 31º);</w:t>
      </w:r>
    </w:p>
    <w:p w14:paraId="6A0EFB11">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3.2.9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7561A1D1">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3.2.10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 14.133/21;</w:t>
      </w:r>
    </w:p>
    <w:p w14:paraId="2712CB2C">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eastAsia="en-US"/>
        </w:rPr>
        <w:t>3.2.11 Para o acompanhamento, gestão e fiscalização da execução do presente contrato, serão designados em momento posterior, antes da execução do objeto, agentes públicos gestor/gestor substituto e fiscal/ fiscal substituto.</w:t>
      </w:r>
    </w:p>
    <w:p w14:paraId="78FCB903">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eastAsia="en-US"/>
        </w:rPr>
        <w:t>3.2.12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78723399">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eastAsia="en-US"/>
        </w:rPr>
        <w:t>3.2.13 A verificação da adequação da prestação do serviço deverá ser realizada com base nos critérios previstos neste Termo de Referência;</w:t>
      </w:r>
    </w:p>
    <w:p w14:paraId="42A7751C">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eastAsia="en-US"/>
        </w:rPr>
        <w:t>3.2.14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72305FB5">
      <w:pPr>
        <w:pStyle w:val="19"/>
        <w:widowControl/>
        <w:tabs>
          <w:tab w:val="left" w:pos="426"/>
        </w:tabs>
        <w:autoSpaceDE/>
        <w:autoSpaceDN/>
        <w:spacing w:before="120" w:after="120" w:line="276" w:lineRule="auto"/>
        <w:ind w:left="0"/>
        <w:jc w:val="both"/>
        <w:rPr>
          <w:rFonts w:ascii="Arial" w:hAnsi="Arial" w:cs="Arial"/>
          <w:bCs/>
          <w:iCs/>
        </w:rPr>
      </w:pPr>
    </w:p>
    <w:p w14:paraId="22193CCF">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3D3E93D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F798910">
      <w:pPr>
        <w:pStyle w:val="19"/>
        <w:widowControl/>
        <w:tabs>
          <w:tab w:val="left" w:pos="426"/>
        </w:tabs>
        <w:autoSpaceDE/>
        <w:autoSpaceDN/>
        <w:spacing w:before="120" w:after="120" w:line="276" w:lineRule="auto"/>
        <w:ind w:left="0"/>
        <w:jc w:val="both"/>
        <w:rPr>
          <w:rFonts w:ascii="Arial" w:hAnsi="Arial" w:cs="Arial"/>
          <w:bCs/>
          <w:i/>
          <w:iCs/>
          <w:color w:val="FF0000"/>
        </w:rPr>
      </w:pPr>
    </w:p>
    <w:p w14:paraId="273B40C6">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36359F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19E0CAC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1CFCB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5459A90B">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p>
    <w:p w14:paraId="132F4CAA">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2FA93995">
      <w:pPr>
        <w:pStyle w:val="19"/>
        <w:widowControl/>
        <w:numPr>
          <w:ilvl w:val="1"/>
          <w:numId w:val="3"/>
        </w:numPr>
        <w:tabs>
          <w:tab w:val="left" w:pos="426"/>
        </w:tabs>
        <w:autoSpaceDE/>
        <w:autoSpaceDN/>
        <w:spacing w:before="120" w:after="120" w:line="276" w:lineRule="auto"/>
        <w:ind w:left="0" w:firstLine="0"/>
        <w:jc w:val="both"/>
        <w:rPr>
          <w:rFonts w:ascii="Arial" w:hAnsi="Arial" w:cs="Arial"/>
          <w:b/>
          <w:bCs w:val="0"/>
          <w:iCs/>
          <w:color w:val="auto"/>
        </w:rPr>
      </w:pPr>
      <w:r>
        <w:rPr>
          <w:rFonts w:ascii="Calibri" w:hAnsi="Calibri"/>
        </w:rPr>
        <w:t xml:space="preserve"> </w:t>
      </w:r>
      <w:r>
        <w:rPr>
          <w:rFonts w:ascii="Arial" w:hAnsi="Arial" w:cs="Arial"/>
          <w:bCs/>
          <w:iCs/>
          <w:color w:val="auto"/>
        </w:rPr>
        <w:t xml:space="preserve">A (s) Nota (s) Fiscal (is) deverá (ão) ser emitida em nome de: </w:t>
      </w:r>
      <w:r>
        <w:rPr>
          <w:rFonts w:ascii="Arial" w:hAnsi="Arial" w:cs="Arial"/>
          <w:b/>
          <w:bCs w:val="0"/>
          <w:iCs/>
          <w:color w:val="auto"/>
        </w:rPr>
        <w:t>MUNICÍPIO DE NOVA FRIBURGO, CNPJ: 28.606.630/0001-23; ENDEREÇO: AVENIDA ALBERTO BRAUNE, 225, CENTRO, NOVA FRIBURGO - RJ, CEP: 28613-001.</w:t>
      </w:r>
    </w:p>
    <w:p w14:paraId="181ED02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u w:val="single"/>
        </w:rPr>
      </w:pPr>
      <w:r>
        <w:rPr>
          <w:rFonts w:ascii="Arial" w:hAnsi="Arial" w:cs="Arial"/>
          <w:bCs/>
          <w:iCs/>
          <w:color w:val="auto"/>
          <w:u w:val="single"/>
        </w:rPr>
        <w:t>Da liquidação da despesa:</w:t>
      </w:r>
    </w:p>
    <w:p w14:paraId="0D97A5D6">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w:t>
      </w:r>
      <w:r>
        <w:rPr>
          <w:rFonts w:ascii="Arial" w:hAnsi="Arial" w:cs="Arial"/>
          <w:bCs/>
          <w:iCs/>
          <w:color w:val="auto"/>
          <w:lang w:eastAsia="en-US"/>
        </w:rPr>
        <w:t xml:space="preserve">.2.1 A liquidação será realizada pela Secretaria Municipal de </w:t>
      </w:r>
      <w:r>
        <w:rPr>
          <w:rFonts w:ascii="Arial" w:hAnsi="Arial" w:cs="Arial"/>
          <w:bCs/>
          <w:iCs/>
          <w:color w:val="auto"/>
        </w:rPr>
        <w:t>Fazenda</w:t>
      </w:r>
      <w:r>
        <w:rPr>
          <w:rFonts w:ascii="Arial" w:hAnsi="Arial" w:cs="Arial"/>
          <w:bCs/>
          <w:iCs/>
          <w:color w:val="auto"/>
          <w:lang w:eastAsia="en-US"/>
        </w:rPr>
        <w:t xml:space="preserve">, a partir do cumprimento das obrigações elencadas neste Termo de Referência, em obediência ao Decreto nº 2493, de 07 de novembro de 2023 e o Decreto nº 3116 de 18 de setembro de 2024, </w:t>
      </w:r>
      <w:r>
        <w:rPr>
          <w:rFonts w:ascii="Arial" w:hAnsi="Arial" w:cs="Arial"/>
          <w:bCs/>
          <w:iCs/>
          <w:color w:val="auto"/>
        </w:rPr>
        <w:fldChar w:fldCharType="begin"/>
      </w:r>
      <w:r>
        <w:rPr>
          <w:rFonts w:ascii="Arial" w:hAnsi="Arial" w:cs="Arial"/>
          <w:bCs/>
          <w:iCs/>
          <w:color w:val="auto"/>
        </w:rPr>
        <w:instrText xml:space="preserve"> HYPERLINK "https://pmnf.rj.gov.br/paginas-centralizadas/9_64_Legislacoes.html" \h </w:instrText>
      </w:r>
      <w:r>
        <w:rPr>
          <w:rFonts w:ascii="Arial" w:hAnsi="Arial" w:cs="Arial"/>
          <w:bCs/>
          <w:iCs/>
          <w:color w:val="auto"/>
        </w:rPr>
        <w:fldChar w:fldCharType="separate"/>
      </w:r>
      <w:r>
        <w:rPr>
          <w:rFonts w:ascii="Arial" w:hAnsi="Arial" w:cs="Arial"/>
          <w:bCs/>
          <w:iCs/>
          <w:color w:val="auto"/>
          <w:lang w:eastAsia="en-US"/>
        </w:rPr>
        <w:t>https://pmnf.rj.gov.br/paginas-centralizadas/9_64_Legislacoes.html</w:t>
      </w:r>
      <w:r>
        <w:rPr>
          <w:rFonts w:ascii="Arial" w:hAnsi="Arial" w:cs="Arial"/>
          <w:bCs/>
          <w:iCs/>
          <w:color w:val="auto"/>
          <w:lang w:eastAsia="en-US"/>
        </w:rPr>
        <w:fldChar w:fldCharType="end"/>
      </w:r>
      <w:r>
        <w:rPr>
          <w:rFonts w:ascii="Arial" w:hAnsi="Arial" w:cs="Arial"/>
          <w:bCs/>
          <w:iCs/>
          <w:color w:val="auto"/>
        </w:rPr>
        <w:fldChar w:fldCharType="begin"/>
      </w:r>
      <w:r>
        <w:rPr>
          <w:rFonts w:ascii="Arial" w:hAnsi="Arial" w:cs="Arial"/>
          <w:bCs/>
          <w:iCs/>
          <w:color w:val="auto"/>
        </w:rPr>
        <w:instrText xml:space="preserve"> HYPERLINK "https://pmnf.rj.gov.br/paginas-centralizadas/9_64_Legislacoes.html." \h </w:instrText>
      </w:r>
      <w:r>
        <w:rPr>
          <w:rFonts w:ascii="Arial" w:hAnsi="Arial" w:cs="Arial"/>
          <w:bCs/>
          <w:iCs/>
          <w:color w:val="auto"/>
        </w:rPr>
        <w:fldChar w:fldCharType="separate"/>
      </w:r>
      <w:r>
        <w:rPr>
          <w:rFonts w:ascii="Arial" w:hAnsi="Arial" w:cs="Arial"/>
          <w:bCs/>
          <w:iCs/>
          <w:color w:val="auto"/>
        </w:rPr>
        <w:t>.</w:t>
      </w:r>
      <w:r>
        <w:rPr>
          <w:rFonts w:ascii="Arial" w:hAnsi="Arial" w:cs="Arial"/>
          <w:bCs/>
          <w:iCs/>
          <w:color w:val="auto"/>
        </w:rPr>
        <w:fldChar w:fldCharType="end"/>
      </w:r>
    </w:p>
    <w:p w14:paraId="2C2A29A0">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w:t>
      </w:r>
      <w:r>
        <w:rPr>
          <w:rFonts w:ascii="Arial" w:hAnsi="Arial" w:cs="Arial"/>
          <w:bCs/>
          <w:iCs/>
          <w:color w:val="auto"/>
          <w:lang w:eastAsia="en-US"/>
        </w:rPr>
        <w:t>.2.2 Deverá ser observado no momento da emissão do Documento Fiscal e na liquidação da despesa os dispositivos do Decreto Municipal nº 2480/2023, o qual dispõe sobre a arre</w:t>
      </w:r>
      <w:r>
        <w:rPr>
          <w:rFonts w:ascii="Arial" w:hAnsi="Arial" w:cs="Arial"/>
          <w:bCs/>
          <w:iCs/>
          <w:color w:val="auto"/>
        </w:rPr>
        <w:t xml:space="preserve">cadação do Imposto de Renda </w:t>
      </w:r>
      <w:r>
        <w:rPr>
          <w:rFonts w:ascii="Arial" w:hAnsi="Arial" w:cs="Arial"/>
          <w:bCs/>
          <w:iCs/>
          <w:color w:val="auto"/>
          <w:lang w:eastAsia="en-US"/>
        </w:rPr>
        <w:t xml:space="preserve">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w:t>
      </w:r>
    </w:p>
    <w:p w14:paraId="1CA917CF">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 xml:space="preserve">3 </w:t>
      </w:r>
      <w:r>
        <w:rPr>
          <w:rFonts w:ascii="Arial" w:hAnsi="Arial" w:cs="Arial"/>
          <w:bCs/>
          <w:iCs/>
          <w:color w:val="auto"/>
          <w:u w:val="single"/>
        </w:rPr>
        <w:t>Do pagamento da despesa:</w:t>
      </w:r>
    </w:p>
    <w:p w14:paraId="21D2BE03">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w:t>
      </w:r>
      <w:r>
        <w:rPr>
          <w:rFonts w:ascii="Arial" w:hAnsi="Arial" w:cs="Arial"/>
          <w:bCs/>
          <w:iCs/>
          <w:color w:val="auto"/>
          <w:lang w:eastAsia="en-US"/>
        </w:rPr>
        <w:t>.3.1 O pagamento será efetuado conforme estabelecido no Decreto Municipal nº 2493, de 07 de novembro de 2023, desde que as certidões listadas abaixo estejam dentro da validade:</w:t>
      </w:r>
    </w:p>
    <w:p w14:paraId="424FB6F8">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w:t>
      </w:r>
      <w:r>
        <w:rPr>
          <w:rFonts w:ascii="Arial" w:hAnsi="Arial" w:cs="Arial"/>
          <w:bCs/>
          <w:iCs/>
          <w:color w:val="auto"/>
          <w:lang w:eastAsia="en-US"/>
        </w:rPr>
        <w:t>.3.1.1. Negativa de Débitos Trabalhistas;</w:t>
      </w:r>
    </w:p>
    <w:p w14:paraId="5DF4AFA9">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w:t>
      </w:r>
      <w:r>
        <w:rPr>
          <w:rFonts w:ascii="Arial" w:hAnsi="Arial" w:cs="Arial"/>
          <w:bCs/>
          <w:iCs/>
          <w:color w:val="auto"/>
          <w:lang w:eastAsia="en-US"/>
        </w:rPr>
        <w:t>3.1.2. Fazenda Federal – abrange as contribuições sociais;</w:t>
      </w:r>
    </w:p>
    <w:p w14:paraId="382CC5B5">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w:t>
      </w:r>
      <w:r>
        <w:rPr>
          <w:rFonts w:ascii="Arial" w:hAnsi="Arial" w:cs="Arial"/>
          <w:bCs/>
          <w:iCs/>
          <w:color w:val="auto"/>
          <w:lang w:eastAsia="en-US"/>
        </w:rPr>
        <w:t>.3.1.3. FGTS;</w:t>
      </w:r>
    </w:p>
    <w:p w14:paraId="130C3CDE">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w:t>
      </w:r>
      <w:r>
        <w:rPr>
          <w:rFonts w:ascii="Arial" w:hAnsi="Arial" w:cs="Arial"/>
          <w:bCs/>
          <w:iCs/>
          <w:color w:val="auto"/>
          <w:lang w:eastAsia="en-US"/>
        </w:rPr>
        <w:t>.3.1.4. PGE – referente à Dívida Ativa Estadual;</w:t>
      </w:r>
    </w:p>
    <w:p w14:paraId="55F2216A">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w:t>
      </w:r>
      <w:r>
        <w:rPr>
          <w:rFonts w:ascii="Arial" w:hAnsi="Arial" w:cs="Arial"/>
          <w:bCs/>
          <w:iCs/>
          <w:color w:val="auto"/>
          <w:lang w:eastAsia="en-US"/>
        </w:rPr>
        <w:t>.3.1.5. Municipal – referente ao ISS e Dívida Ativa;</w:t>
      </w:r>
    </w:p>
    <w:p w14:paraId="28139DFD">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6.3</w:t>
      </w:r>
      <w:r>
        <w:rPr>
          <w:rFonts w:ascii="Arial" w:hAnsi="Arial" w:cs="Arial"/>
          <w:bCs/>
          <w:iCs/>
          <w:color w:val="auto"/>
          <w:lang w:eastAsia="en-US"/>
        </w:rPr>
        <w:t>.1.6. Estadual CND – referente ao ICMS;</w:t>
      </w:r>
    </w:p>
    <w:p w14:paraId="7555FB7D">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 xml:space="preserve">.3.2 A Nota Fiscal deverá conter a identificação do banco, número da agência e da conta corrente, para que possibilite o contratante efetuar o pagamento do valor devido; </w:t>
      </w:r>
    </w:p>
    <w:p w14:paraId="7F1E52F4">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3.3 Na ocorrência de rejeição da(s) Nota(s) Fiscal (s), motivada por erro ou incorreções, o prazo para pagamento estipulado acima passará a ser contado a partir da data de sua reapresentação;</w:t>
      </w:r>
    </w:p>
    <w:p w14:paraId="3822BCD8">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r>
        <w:rPr>
          <w:rFonts w:hint="default" w:ascii="Arial" w:hAnsi="Arial" w:cs="Arial"/>
          <w:bCs/>
          <w:iCs/>
          <w:color w:val="auto"/>
          <w:lang w:val="pt-BR"/>
        </w:rPr>
        <w:t>6</w:t>
      </w:r>
      <w:r>
        <w:rPr>
          <w:rFonts w:ascii="Arial" w:hAnsi="Arial" w:cs="Arial"/>
          <w:bCs/>
          <w:iCs/>
          <w:color w:val="auto"/>
        </w:rPr>
        <w:t xml:space="preserve">.3.4 Consoante o artigo 45 da Lei nº 9.784, de 1999, a Administração Pública poderá, sem a prévia manifestação do interessado, motivadamente, adotar providências acauteladoras, inclusive retendo o pagamento, em caso de risco iminente, como forma de prevenir a </w:t>
      </w:r>
      <w:r>
        <w:rPr>
          <w:rFonts w:hint="default" w:ascii="Arial" w:hAnsi="Arial" w:cs="Arial"/>
          <w:bCs/>
          <w:iCs/>
          <w:color w:val="auto"/>
          <w:lang w:val="pt-BR"/>
        </w:rPr>
        <w:t>ocorrência de dano de difícil ou impossível reparação.</w:t>
      </w:r>
    </w:p>
    <w:p w14:paraId="70940A8D">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6.3.5 O</w:t>
      </w:r>
      <w:r>
        <w:rPr>
          <w:rFonts w:ascii="Arial" w:hAnsi="Arial" w:cs="Arial"/>
          <w:bCs/>
          <w:iCs/>
          <w:color w:val="auto"/>
        </w:rPr>
        <w:t xml:space="preserve">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14:paraId="4F6278B0">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lang w:val="pt-BR" w:eastAsia="pt-BR"/>
        </w:rPr>
      </w:pPr>
    </w:p>
    <w:p w14:paraId="3597BA5A">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6348F2F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70569D4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14:paraId="2DDE6E5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93CC5B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79045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CA7A2A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6175A2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8EA453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FA84FB2">
      <w:pPr>
        <w:widowControl/>
        <w:tabs>
          <w:tab w:val="left" w:pos="426"/>
        </w:tabs>
        <w:autoSpaceDE/>
        <w:autoSpaceDN/>
        <w:spacing w:before="120" w:after="120" w:line="276" w:lineRule="auto"/>
        <w:jc w:val="both"/>
        <w:rPr>
          <w:rFonts w:ascii="Arial" w:hAnsi="Arial" w:cs="Arial"/>
          <w:bCs/>
          <w:i/>
          <w:color w:val="FF0000"/>
        </w:rPr>
      </w:pPr>
    </w:p>
    <w:p w14:paraId="24576018">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F8B0CC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475FBE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6D4E471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F0A9D7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547C32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D16C92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5E2F74B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D9CABD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5E79A63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EA1B3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F21FBC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5080FE7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7845908">
      <w:pPr>
        <w:pStyle w:val="19"/>
        <w:widowControl/>
        <w:tabs>
          <w:tab w:val="left" w:pos="426"/>
        </w:tabs>
        <w:autoSpaceDE/>
        <w:autoSpaceDN/>
        <w:spacing w:before="120" w:after="120" w:line="276" w:lineRule="auto"/>
        <w:ind w:left="862"/>
        <w:jc w:val="both"/>
        <w:rPr>
          <w:rFonts w:ascii="Arial" w:hAnsi="Arial" w:cs="Arial"/>
          <w:bCs/>
          <w:iCs/>
          <w:lang w:val="pt-BR"/>
        </w:rPr>
      </w:pPr>
    </w:p>
    <w:p w14:paraId="13E10B0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414460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73CDEF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45D895A">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46497EF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6B375889">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7212FA0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3DEBAB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70443D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73D9A86">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09AAFC1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4853E2A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0C270AA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7BEA2066">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7CD199C2">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758ADBE2">
      <w:pPr>
        <w:pStyle w:val="45"/>
        <w:numPr>
          <w:ilvl w:val="1"/>
          <w:numId w:val="3"/>
        </w:numPr>
        <w:rPr>
          <w:sz w:val="22"/>
          <w:szCs w:val="22"/>
        </w:rPr>
      </w:pPr>
      <w:r>
        <w:rPr>
          <w:sz w:val="22"/>
          <w:szCs w:val="22"/>
        </w:rPr>
        <w:t xml:space="preserve">Guardar sigilo sobre todas as informações obtidas em decorrência do cumprimento do contrato; </w:t>
      </w:r>
    </w:p>
    <w:p w14:paraId="65F8514E">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35B655A2">
      <w:pPr>
        <w:pStyle w:val="45"/>
        <w:numPr>
          <w:ilvl w:val="1"/>
          <w:numId w:val="3"/>
        </w:numPr>
        <w:rPr>
          <w:sz w:val="22"/>
          <w:szCs w:val="22"/>
        </w:rPr>
      </w:pPr>
      <w:r>
        <w:rPr>
          <w:sz w:val="22"/>
          <w:szCs w:val="22"/>
        </w:rPr>
        <w:t>Cumprir, além dos postulados legais vigentes de âmbito federal, estadual ou municipal, as normas de segurança do contratante.</w:t>
      </w:r>
    </w:p>
    <w:p w14:paraId="02074FDA">
      <w:pPr>
        <w:pStyle w:val="19"/>
        <w:tabs>
          <w:tab w:val="left" w:pos="284"/>
        </w:tabs>
        <w:spacing w:line="276" w:lineRule="auto"/>
        <w:ind w:left="0"/>
        <w:rPr>
          <w:rFonts w:ascii="Arial" w:hAnsi="Arial" w:cs="Arial" w:eastAsiaTheme="majorEastAsia"/>
          <w:b/>
          <w:bCs/>
          <w:lang w:val="pt-BR" w:eastAsia="pt-BR"/>
        </w:rPr>
      </w:pPr>
    </w:p>
    <w:p w14:paraId="08F3143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7589948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4BAD1112">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59A26649">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72A730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728A9AF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A68F3D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7604D3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47EE7F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396807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FCA5D59">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16BE13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2AB080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76604F6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7D3389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3" w:name="_Hlk114504069"/>
      <w:r>
        <w:rPr>
          <w:rStyle w:val="9"/>
          <w:rFonts w:ascii="Arial" w:hAnsi="Arial" w:eastAsia="Arial" w:cs="Arial"/>
        </w:rPr>
        <w:t>Lei nº 14.133, de 2021</w:t>
      </w:r>
      <w:bookmarkEnd w:id="3"/>
      <w:r>
        <w:rPr>
          <w:rStyle w:val="9"/>
          <w:rFonts w:ascii="Arial" w:hAnsi="Arial" w:eastAsia="Arial" w:cs="Arial"/>
        </w:rPr>
        <w:fldChar w:fldCharType="end"/>
      </w:r>
      <w:r>
        <w:rPr>
          <w:rFonts w:ascii="Arial" w:hAnsi="Arial" w:eastAsia="Arial" w:cs="Arial"/>
        </w:rPr>
        <w:t>);</w:t>
      </w:r>
    </w:p>
    <w:p w14:paraId="2D2E509F">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4D7A8D8">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755271">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FE88912">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6DF7771">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5F6064B">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4A5C0F5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48C62B64">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757B758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1C5923A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22B95C2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088DE28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4638A08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0574019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4E6DB27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6163F99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536BBDF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6763CD4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7AC7E6A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E7784A">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07FEABF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016F61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BEBE3BE">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38CAE84">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070FC42A">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02E53A4E">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2EFA7AE8">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5A49F57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5ACB71AD">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6F6BD1BB">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1659E80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1227EA9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205FF269">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1BE35F2B">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67053E4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4F33BC5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0ECCD0B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2709D8D">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1559219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176A3888">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6107865B">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78BA3FC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1C2E872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28FB6C72">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7C1573">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75347F2A">
      <w:pPr>
        <w:pStyle w:val="19"/>
        <w:numPr>
          <w:ilvl w:val="0"/>
          <w:numId w:val="0"/>
        </w:numPr>
        <w:tabs>
          <w:tab w:val="left" w:pos="426"/>
        </w:tabs>
        <w:ind w:leftChars="0"/>
        <w:jc w:val="both"/>
        <w:rPr>
          <w:rFonts w:ascii="Arial" w:hAnsi="Arial" w:cs="Arial"/>
        </w:rPr>
      </w:pPr>
      <w:r>
        <w:rPr>
          <w:rFonts w:ascii="Arial" w:hAnsi="Arial" w:cs="Arial"/>
        </w:rPr>
        <w:t>13.1 As despesas decorrentes da presente contratação correrão à conta de recursos específicos consignados no Orçamento do Município, na forma abaixo:</w:t>
      </w:r>
    </w:p>
    <w:p w14:paraId="39E03FF6">
      <w:pPr>
        <w:pStyle w:val="19"/>
        <w:numPr>
          <w:ilvl w:val="0"/>
          <w:numId w:val="0"/>
        </w:numPr>
        <w:tabs>
          <w:tab w:val="left" w:pos="426"/>
        </w:tabs>
        <w:ind w:leftChars="0"/>
        <w:jc w:val="both"/>
        <w:rPr>
          <w:rFonts w:ascii="Arial" w:hAnsi="Arial" w:cs="Arial"/>
        </w:rPr>
      </w:pPr>
    </w:p>
    <w:tbl>
      <w:tblPr>
        <w:tblStyle w:val="17"/>
        <w:tblW w:w="9770" w:type="dxa"/>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2"/>
        <w:gridCol w:w="3122"/>
        <w:gridCol w:w="1873"/>
        <w:gridCol w:w="1873"/>
      </w:tblGrid>
      <w:tr w14:paraId="0682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2902" w:type="dxa"/>
            <w:tcBorders>
              <w:right w:val="nil"/>
            </w:tcBorders>
            <w:shd w:val="clear" w:color="auto" w:fill="auto"/>
          </w:tcPr>
          <w:p w14:paraId="013C2F3D">
            <w:pPr>
              <w:pStyle w:val="19"/>
              <w:numPr>
                <w:ilvl w:val="0"/>
                <w:numId w:val="0"/>
              </w:numPr>
              <w:tabs>
                <w:tab w:val="left" w:pos="426"/>
              </w:tabs>
              <w:ind w:leftChars="0"/>
              <w:jc w:val="both"/>
              <w:rPr>
                <w:rFonts w:ascii="Arial" w:hAnsi="Arial" w:cs="Arial"/>
              </w:rPr>
            </w:pPr>
            <w:r>
              <w:rPr>
                <w:rFonts w:ascii="Arial" w:hAnsi="Arial" w:cs="Arial"/>
                <w:b/>
                <w:bCs/>
                <w:lang w:val="pt-BR"/>
              </w:rPr>
              <w:t>Órgão/Unidade Orçamentária</w:t>
            </w:r>
          </w:p>
        </w:tc>
        <w:tc>
          <w:tcPr>
            <w:tcW w:w="3122" w:type="dxa"/>
            <w:tcBorders>
              <w:right w:val="nil"/>
            </w:tcBorders>
            <w:shd w:val="clear" w:color="auto" w:fill="auto"/>
          </w:tcPr>
          <w:p w14:paraId="492E9DE6">
            <w:pPr>
              <w:pStyle w:val="19"/>
              <w:numPr>
                <w:ilvl w:val="0"/>
                <w:numId w:val="0"/>
              </w:numPr>
              <w:tabs>
                <w:tab w:val="left" w:pos="426"/>
              </w:tabs>
              <w:ind w:leftChars="0"/>
              <w:jc w:val="both"/>
              <w:rPr>
                <w:rFonts w:ascii="Arial" w:hAnsi="Arial" w:cs="Arial"/>
              </w:rPr>
            </w:pPr>
            <w:r>
              <w:rPr>
                <w:rFonts w:ascii="Arial" w:hAnsi="Arial" w:cs="Arial"/>
                <w:b/>
                <w:bCs/>
                <w:lang w:val="pt-BR"/>
              </w:rPr>
              <w:t>Programa de Trabalho</w:t>
            </w:r>
          </w:p>
        </w:tc>
        <w:tc>
          <w:tcPr>
            <w:tcW w:w="1873" w:type="dxa"/>
            <w:tcBorders>
              <w:right w:val="nil"/>
            </w:tcBorders>
            <w:shd w:val="clear" w:color="auto" w:fill="auto"/>
          </w:tcPr>
          <w:p w14:paraId="6781CB4C">
            <w:pPr>
              <w:pStyle w:val="19"/>
              <w:numPr>
                <w:ilvl w:val="0"/>
                <w:numId w:val="0"/>
              </w:numPr>
              <w:tabs>
                <w:tab w:val="left" w:pos="426"/>
              </w:tabs>
              <w:ind w:leftChars="0"/>
              <w:jc w:val="center"/>
              <w:rPr>
                <w:rFonts w:ascii="Arial" w:hAnsi="Arial" w:cs="Arial"/>
                <w:lang w:val="pt-BR" w:eastAsia="pt-BR"/>
              </w:rPr>
            </w:pPr>
            <w:r>
              <w:rPr>
                <w:rFonts w:ascii="Arial" w:hAnsi="Arial" w:cs="Arial"/>
                <w:b/>
                <w:bCs/>
                <w:lang w:val="pt-BR" w:eastAsia="pt-BR"/>
              </w:rPr>
              <w:t>Fonte de Recursos</w:t>
            </w:r>
          </w:p>
        </w:tc>
        <w:tc>
          <w:tcPr>
            <w:tcW w:w="1873" w:type="dxa"/>
            <w:shd w:val="clear" w:color="auto" w:fill="auto"/>
          </w:tcPr>
          <w:p w14:paraId="420A5D0D">
            <w:pPr>
              <w:pStyle w:val="19"/>
              <w:numPr>
                <w:ilvl w:val="0"/>
                <w:numId w:val="0"/>
              </w:numPr>
              <w:tabs>
                <w:tab w:val="left" w:pos="426"/>
              </w:tabs>
              <w:ind w:leftChars="0"/>
              <w:jc w:val="center"/>
              <w:rPr>
                <w:rFonts w:ascii="Arial" w:hAnsi="Arial" w:cs="Arial"/>
                <w:lang w:val="pt-BR" w:eastAsia="pt-BR"/>
              </w:rPr>
            </w:pPr>
            <w:r>
              <w:rPr>
                <w:rFonts w:ascii="Arial" w:hAnsi="Arial" w:cs="Arial"/>
                <w:b/>
                <w:bCs/>
                <w:lang w:val="pt-BR" w:eastAsia="pt-BR"/>
              </w:rPr>
              <w:t>Natureza da Despesa</w:t>
            </w:r>
          </w:p>
        </w:tc>
      </w:tr>
      <w:tr w14:paraId="1841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902" w:type="dxa"/>
            <w:vMerge w:val="restart"/>
            <w:shd w:val="clear" w:color="auto" w:fill="auto"/>
          </w:tcPr>
          <w:p w14:paraId="313AFCFF">
            <w:pPr>
              <w:pStyle w:val="19"/>
              <w:numPr>
                <w:ilvl w:val="0"/>
                <w:numId w:val="0"/>
              </w:numPr>
              <w:tabs>
                <w:tab w:val="left" w:pos="426"/>
              </w:tabs>
              <w:ind w:leftChars="0"/>
              <w:jc w:val="both"/>
              <w:rPr>
                <w:rFonts w:ascii="Arial" w:hAnsi="Arial" w:cs="Arial"/>
              </w:rPr>
            </w:pPr>
          </w:p>
          <w:p w14:paraId="48EB8EA9">
            <w:pPr>
              <w:pStyle w:val="19"/>
              <w:numPr>
                <w:ilvl w:val="0"/>
                <w:numId w:val="0"/>
              </w:numPr>
              <w:tabs>
                <w:tab w:val="left" w:pos="426"/>
              </w:tabs>
              <w:ind w:leftChars="0"/>
              <w:jc w:val="both"/>
              <w:rPr>
                <w:rFonts w:ascii="Arial" w:hAnsi="Arial" w:cs="Arial"/>
                <w:lang w:val="pt-BR"/>
              </w:rPr>
            </w:pPr>
          </w:p>
          <w:p w14:paraId="4A562D36">
            <w:pPr>
              <w:pStyle w:val="19"/>
              <w:numPr>
                <w:ilvl w:val="0"/>
                <w:numId w:val="0"/>
              </w:numPr>
              <w:tabs>
                <w:tab w:val="left" w:pos="426"/>
              </w:tabs>
              <w:ind w:leftChars="0"/>
              <w:jc w:val="center"/>
              <w:rPr>
                <w:rFonts w:ascii="Arial" w:hAnsi="Arial" w:cs="Arial"/>
                <w:lang w:val="pt-BR"/>
              </w:rPr>
            </w:pPr>
            <w:r>
              <w:rPr>
                <w:rFonts w:ascii="Arial" w:hAnsi="Arial" w:cs="Arial"/>
                <w:lang w:val="pt-BR"/>
              </w:rPr>
              <w:t>Secretaria de Educação</w:t>
            </w:r>
          </w:p>
        </w:tc>
        <w:tc>
          <w:tcPr>
            <w:tcW w:w="3122" w:type="dxa"/>
            <w:shd w:val="clear" w:color="auto" w:fill="auto"/>
          </w:tcPr>
          <w:p w14:paraId="024B8B1A">
            <w:pPr>
              <w:pStyle w:val="19"/>
              <w:numPr>
                <w:ilvl w:val="0"/>
                <w:numId w:val="0"/>
              </w:numPr>
              <w:tabs>
                <w:tab w:val="left" w:pos="426"/>
              </w:tabs>
              <w:ind w:leftChars="0"/>
              <w:jc w:val="both"/>
              <w:rPr>
                <w:rFonts w:ascii="Arial" w:hAnsi="Arial" w:cs="Arial"/>
              </w:rPr>
            </w:pPr>
            <w:r>
              <w:rPr>
                <w:rFonts w:ascii="Arial" w:hAnsi="Arial" w:cs="Arial"/>
              </w:rPr>
              <w:t>07 001  04 122 1043 2.309</w:t>
            </w:r>
          </w:p>
        </w:tc>
        <w:tc>
          <w:tcPr>
            <w:tcW w:w="1873" w:type="dxa"/>
            <w:vMerge w:val="restart"/>
            <w:shd w:val="clear" w:color="auto" w:fill="auto"/>
          </w:tcPr>
          <w:p w14:paraId="4B5C7755">
            <w:pPr>
              <w:pStyle w:val="19"/>
              <w:numPr>
                <w:ilvl w:val="0"/>
                <w:numId w:val="0"/>
              </w:numPr>
              <w:tabs>
                <w:tab w:val="left" w:pos="426"/>
              </w:tabs>
              <w:ind w:leftChars="0"/>
              <w:jc w:val="both"/>
              <w:rPr>
                <w:rFonts w:ascii="Arial" w:hAnsi="Arial" w:cs="Arial"/>
              </w:rPr>
            </w:pPr>
            <w:r>
              <w:rPr>
                <w:rFonts w:ascii="Arial" w:hAnsi="Arial" w:cs="Arial"/>
                <w:lang w:val="pt-BR"/>
              </w:rPr>
              <w:t>150000000000</w:t>
            </w:r>
          </w:p>
          <w:p w14:paraId="739693C0">
            <w:pPr>
              <w:pStyle w:val="19"/>
              <w:numPr>
                <w:ilvl w:val="0"/>
                <w:numId w:val="0"/>
              </w:numPr>
              <w:tabs>
                <w:tab w:val="left" w:pos="426"/>
              </w:tabs>
              <w:ind w:leftChars="0"/>
              <w:jc w:val="both"/>
              <w:rPr>
                <w:rFonts w:ascii="Arial" w:hAnsi="Arial" w:cs="Arial"/>
              </w:rPr>
            </w:pPr>
            <w:r>
              <w:rPr>
                <w:rFonts w:ascii="Arial" w:hAnsi="Arial" w:cs="Arial"/>
                <w:lang w:val="pt-BR"/>
              </w:rPr>
              <w:t>150010010000</w:t>
            </w:r>
          </w:p>
          <w:p w14:paraId="57031A52">
            <w:pPr>
              <w:pStyle w:val="19"/>
              <w:numPr>
                <w:ilvl w:val="0"/>
                <w:numId w:val="0"/>
              </w:numPr>
              <w:tabs>
                <w:tab w:val="left" w:pos="426"/>
              </w:tabs>
              <w:ind w:leftChars="0"/>
              <w:jc w:val="both"/>
              <w:rPr>
                <w:rFonts w:ascii="Arial" w:hAnsi="Arial" w:cs="Arial"/>
              </w:rPr>
            </w:pPr>
            <w:r>
              <w:rPr>
                <w:rFonts w:ascii="Arial" w:hAnsi="Arial" w:cs="Arial"/>
                <w:lang w:val="pt-BR"/>
              </w:rPr>
              <w:t>155000000000</w:t>
            </w:r>
          </w:p>
          <w:p w14:paraId="33FDF429">
            <w:pPr>
              <w:pStyle w:val="19"/>
              <w:numPr>
                <w:ilvl w:val="0"/>
                <w:numId w:val="0"/>
              </w:numPr>
              <w:tabs>
                <w:tab w:val="left" w:pos="426"/>
              </w:tabs>
              <w:ind w:leftChars="0"/>
              <w:jc w:val="both"/>
              <w:rPr>
                <w:rFonts w:ascii="Arial" w:hAnsi="Arial" w:cs="Arial"/>
              </w:rPr>
            </w:pPr>
            <w:r>
              <w:rPr>
                <w:rFonts w:ascii="Arial" w:hAnsi="Arial" w:cs="Arial"/>
                <w:lang w:val="pt-BR"/>
              </w:rPr>
              <w:t>157300000000</w:t>
            </w:r>
          </w:p>
        </w:tc>
        <w:tc>
          <w:tcPr>
            <w:tcW w:w="1873" w:type="dxa"/>
            <w:vMerge w:val="restart"/>
            <w:shd w:val="clear" w:color="auto" w:fill="auto"/>
          </w:tcPr>
          <w:p w14:paraId="6A070DB4">
            <w:pPr>
              <w:pStyle w:val="19"/>
              <w:numPr>
                <w:ilvl w:val="0"/>
                <w:numId w:val="0"/>
              </w:numPr>
              <w:tabs>
                <w:tab w:val="left" w:pos="426"/>
              </w:tabs>
              <w:ind w:leftChars="0"/>
              <w:jc w:val="both"/>
              <w:rPr>
                <w:rFonts w:ascii="Arial" w:hAnsi="Arial" w:cs="Arial"/>
              </w:rPr>
            </w:pPr>
          </w:p>
          <w:p w14:paraId="5C5D0792">
            <w:pPr>
              <w:pStyle w:val="19"/>
              <w:numPr>
                <w:ilvl w:val="0"/>
                <w:numId w:val="0"/>
              </w:numPr>
              <w:tabs>
                <w:tab w:val="left" w:pos="426"/>
              </w:tabs>
              <w:ind w:leftChars="0"/>
              <w:jc w:val="both"/>
              <w:rPr>
                <w:rFonts w:ascii="Arial" w:hAnsi="Arial" w:cs="Arial"/>
                <w:lang w:val="pt-BR"/>
              </w:rPr>
            </w:pPr>
          </w:p>
          <w:p w14:paraId="2656CFC8">
            <w:pPr>
              <w:pStyle w:val="19"/>
              <w:numPr>
                <w:ilvl w:val="0"/>
                <w:numId w:val="0"/>
              </w:numPr>
              <w:tabs>
                <w:tab w:val="left" w:pos="426"/>
              </w:tabs>
              <w:ind w:leftChars="0"/>
              <w:jc w:val="center"/>
              <w:rPr>
                <w:rFonts w:ascii="Arial" w:hAnsi="Arial" w:cs="Arial"/>
                <w:lang w:val="pt-BR"/>
              </w:rPr>
            </w:pPr>
            <w:r>
              <w:rPr>
                <w:rFonts w:ascii="Arial" w:hAnsi="Arial" w:cs="Arial"/>
                <w:lang w:val="pt-BR"/>
              </w:rPr>
              <w:t>44.90.52-12</w:t>
            </w:r>
          </w:p>
        </w:tc>
      </w:tr>
      <w:tr w14:paraId="35DD9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2902" w:type="dxa"/>
            <w:vMerge w:val="continue"/>
            <w:shd w:val="clear" w:color="auto" w:fill="auto"/>
          </w:tcPr>
          <w:p w14:paraId="106E2C1A">
            <w:pPr>
              <w:pStyle w:val="19"/>
              <w:numPr>
                <w:ilvl w:val="1"/>
                <w:numId w:val="3"/>
              </w:numPr>
              <w:tabs>
                <w:tab w:val="left" w:pos="426"/>
              </w:tabs>
              <w:ind w:left="0" w:firstLine="0"/>
              <w:jc w:val="both"/>
              <w:rPr>
                <w:rFonts w:ascii="Arial" w:hAnsi="Arial" w:cs="Arial"/>
              </w:rPr>
            </w:pPr>
          </w:p>
        </w:tc>
        <w:tc>
          <w:tcPr>
            <w:tcW w:w="3122" w:type="dxa"/>
            <w:tcBorders>
              <w:top w:val="nil"/>
            </w:tcBorders>
            <w:shd w:val="clear" w:color="auto" w:fill="auto"/>
          </w:tcPr>
          <w:p w14:paraId="77B41EF9">
            <w:pPr>
              <w:pStyle w:val="19"/>
              <w:numPr>
                <w:ilvl w:val="0"/>
                <w:numId w:val="0"/>
              </w:numPr>
              <w:tabs>
                <w:tab w:val="left" w:pos="426"/>
              </w:tabs>
              <w:ind w:leftChars="0"/>
              <w:jc w:val="both"/>
              <w:rPr>
                <w:rFonts w:ascii="Arial" w:hAnsi="Arial" w:cs="Arial"/>
              </w:rPr>
            </w:pPr>
            <w:r>
              <w:rPr>
                <w:rFonts w:ascii="Arial" w:hAnsi="Arial" w:cs="Arial"/>
              </w:rPr>
              <w:t>07 002  12 361 1053 2.330</w:t>
            </w:r>
          </w:p>
        </w:tc>
        <w:tc>
          <w:tcPr>
            <w:tcW w:w="1873" w:type="dxa"/>
            <w:vMerge w:val="continue"/>
            <w:shd w:val="clear" w:color="auto" w:fill="auto"/>
          </w:tcPr>
          <w:p w14:paraId="3E3DCA30">
            <w:pPr>
              <w:pStyle w:val="19"/>
              <w:numPr>
                <w:ilvl w:val="1"/>
                <w:numId w:val="3"/>
              </w:numPr>
              <w:tabs>
                <w:tab w:val="left" w:pos="426"/>
              </w:tabs>
              <w:ind w:left="0" w:firstLine="0"/>
              <w:jc w:val="both"/>
              <w:rPr>
                <w:rFonts w:ascii="Arial" w:hAnsi="Arial" w:cs="Arial"/>
              </w:rPr>
            </w:pPr>
          </w:p>
        </w:tc>
        <w:tc>
          <w:tcPr>
            <w:tcW w:w="1873" w:type="dxa"/>
            <w:vMerge w:val="continue"/>
            <w:shd w:val="clear" w:color="auto" w:fill="auto"/>
          </w:tcPr>
          <w:p w14:paraId="6E0C2287">
            <w:pPr>
              <w:pStyle w:val="19"/>
              <w:numPr>
                <w:ilvl w:val="1"/>
                <w:numId w:val="3"/>
              </w:numPr>
              <w:tabs>
                <w:tab w:val="left" w:pos="426"/>
              </w:tabs>
              <w:ind w:left="0" w:firstLine="0"/>
              <w:jc w:val="both"/>
              <w:rPr>
                <w:rFonts w:ascii="Arial" w:hAnsi="Arial" w:cs="Arial"/>
              </w:rPr>
            </w:pPr>
          </w:p>
        </w:tc>
      </w:tr>
      <w:tr w14:paraId="72F51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2902" w:type="dxa"/>
            <w:vMerge w:val="continue"/>
            <w:shd w:val="clear" w:color="auto" w:fill="auto"/>
          </w:tcPr>
          <w:p w14:paraId="5ADC713B">
            <w:pPr>
              <w:pStyle w:val="19"/>
              <w:numPr>
                <w:ilvl w:val="1"/>
                <w:numId w:val="3"/>
              </w:numPr>
              <w:tabs>
                <w:tab w:val="left" w:pos="426"/>
              </w:tabs>
              <w:ind w:left="0" w:firstLine="0"/>
              <w:jc w:val="both"/>
              <w:rPr>
                <w:rFonts w:ascii="Arial" w:hAnsi="Arial" w:cs="Arial"/>
              </w:rPr>
            </w:pPr>
          </w:p>
        </w:tc>
        <w:tc>
          <w:tcPr>
            <w:tcW w:w="3122" w:type="dxa"/>
            <w:tcBorders>
              <w:top w:val="nil"/>
            </w:tcBorders>
            <w:shd w:val="clear" w:color="auto" w:fill="auto"/>
          </w:tcPr>
          <w:p w14:paraId="78F4E836">
            <w:pPr>
              <w:pStyle w:val="19"/>
              <w:numPr>
                <w:ilvl w:val="0"/>
                <w:numId w:val="0"/>
              </w:numPr>
              <w:tabs>
                <w:tab w:val="left" w:pos="426"/>
              </w:tabs>
              <w:ind w:leftChars="0"/>
              <w:jc w:val="both"/>
              <w:rPr>
                <w:rFonts w:ascii="Arial" w:hAnsi="Arial" w:cs="Arial"/>
              </w:rPr>
            </w:pPr>
            <w:r>
              <w:rPr>
                <w:rFonts w:ascii="Arial" w:hAnsi="Arial" w:cs="Arial"/>
              </w:rPr>
              <w:t>07 003  12 365 1062 2.348</w:t>
            </w:r>
          </w:p>
        </w:tc>
        <w:tc>
          <w:tcPr>
            <w:tcW w:w="1873" w:type="dxa"/>
            <w:vMerge w:val="continue"/>
            <w:shd w:val="clear" w:color="auto" w:fill="auto"/>
          </w:tcPr>
          <w:p w14:paraId="0AE585A3">
            <w:pPr>
              <w:pStyle w:val="19"/>
              <w:numPr>
                <w:ilvl w:val="1"/>
                <w:numId w:val="3"/>
              </w:numPr>
              <w:tabs>
                <w:tab w:val="left" w:pos="426"/>
              </w:tabs>
              <w:ind w:left="0" w:firstLine="0"/>
              <w:jc w:val="both"/>
              <w:rPr>
                <w:rFonts w:ascii="Arial" w:hAnsi="Arial" w:cs="Arial"/>
              </w:rPr>
            </w:pPr>
          </w:p>
        </w:tc>
        <w:tc>
          <w:tcPr>
            <w:tcW w:w="1873" w:type="dxa"/>
            <w:vMerge w:val="continue"/>
            <w:shd w:val="clear" w:color="auto" w:fill="auto"/>
          </w:tcPr>
          <w:p w14:paraId="09826AB9">
            <w:pPr>
              <w:pStyle w:val="19"/>
              <w:numPr>
                <w:ilvl w:val="1"/>
                <w:numId w:val="3"/>
              </w:numPr>
              <w:tabs>
                <w:tab w:val="left" w:pos="426"/>
              </w:tabs>
              <w:ind w:left="0" w:firstLine="0"/>
              <w:jc w:val="both"/>
              <w:rPr>
                <w:rFonts w:ascii="Arial" w:hAnsi="Arial" w:cs="Arial"/>
              </w:rPr>
            </w:pPr>
          </w:p>
        </w:tc>
      </w:tr>
      <w:tr w14:paraId="6312C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2902" w:type="dxa"/>
            <w:vMerge w:val="continue"/>
            <w:shd w:val="clear" w:color="auto" w:fill="auto"/>
          </w:tcPr>
          <w:p w14:paraId="37B798E7">
            <w:pPr>
              <w:pStyle w:val="19"/>
              <w:numPr>
                <w:ilvl w:val="1"/>
                <w:numId w:val="3"/>
              </w:numPr>
              <w:tabs>
                <w:tab w:val="left" w:pos="426"/>
              </w:tabs>
              <w:ind w:left="0" w:firstLine="0"/>
              <w:jc w:val="both"/>
              <w:rPr>
                <w:rFonts w:ascii="Arial" w:hAnsi="Arial" w:cs="Arial"/>
              </w:rPr>
            </w:pPr>
          </w:p>
        </w:tc>
        <w:tc>
          <w:tcPr>
            <w:tcW w:w="3122" w:type="dxa"/>
            <w:tcBorders>
              <w:top w:val="nil"/>
            </w:tcBorders>
            <w:shd w:val="clear" w:color="auto" w:fill="auto"/>
          </w:tcPr>
          <w:p w14:paraId="63D0C056">
            <w:pPr>
              <w:pStyle w:val="19"/>
              <w:numPr>
                <w:ilvl w:val="0"/>
                <w:numId w:val="0"/>
              </w:numPr>
              <w:tabs>
                <w:tab w:val="left" w:pos="426"/>
              </w:tabs>
              <w:ind w:leftChars="0"/>
              <w:jc w:val="both"/>
              <w:rPr>
                <w:rFonts w:ascii="Arial" w:hAnsi="Arial" w:cs="Arial"/>
              </w:rPr>
            </w:pPr>
            <w:r>
              <w:rPr>
                <w:rFonts w:ascii="Arial" w:hAnsi="Arial" w:cs="Arial"/>
              </w:rPr>
              <w:t>07 004  12 365 1070 2.365</w:t>
            </w:r>
          </w:p>
        </w:tc>
        <w:tc>
          <w:tcPr>
            <w:tcW w:w="1873" w:type="dxa"/>
            <w:vMerge w:val="continue"/>
            <w:shd w:val="clear" w:color="auto" w:fill="auto"/>
          </w:tcPr>
          <w:p w14:paraId="37D906A4">
            <w:pPr>
              <w:pStyle w:val="19"/>
              <w:numPr>
                <w:ilvl w:val="1"/>
                <w:numId w:val="3"/>
              </w:numPr>
              <w:tabs>
                <w:tab w:val="left" w:pos="426"/>
              </w:tabs>
              <w:ind w:left="0" w:firstLine="0"/>
              <w:jc w:val="both"/>
              <w:rPr>
                <w:rFonts w:ascii="Arial" w:hAnsi="Arial" w:cs="Arial"/>
              </w:rPr>
            </w:pPr>
          </w:p>
        </w:tc>
        <w:tc>
          <w:tcPr>
            <w:tcW w:w="1873" w:type="dxa"/>
            <w:vMerge w:val="continue"/>
            <w:shd w:val="clear" w:color="auto" w:fill="auto"/>
          </w:tcPr>
          <w:p w14:paraId="4C5974C0">
            <w:pPr>
              <w:pStyle w:val="19"/>
              <w:numPr>
                <w:ilvl w:val="1"/>
                <w:numId w:val="3"/>
              </w:numPr>
              <w:tabs>
                <w:tab w:val="left" w:pos="426"/>
              </w:tabs>
              <w:ind w:left="0" w:firstLine="0"/>
              <w:jc w:val="both"/>
              <w:rPr>
                <w:rFonts w:ascii="Arial" w:hAnsi="Arial" w:cs="Arial"/>
              </w:rPr>
            </w:pPr>
          </w:p>
        </w:tc>
      </w:tr>
    </w:tbl>
    <w:p w14:paraId="0173DED9">
      <w:pPr>
        <w:pStyle w:val="19"/>
        <w:numPr>
          <w:ilvl w:val="0"/>
          <w:numId w:val="0"/>
        </w:numPr>
        <w:tabs>
          <w:tab w:val="left" w:pos="426"/>
        </w:tabs>
        <w:ind w:leftChars="0"/>
        <w:jc w:val="both"/>
        <w:rPr>
          <w:rFonts w:ascii="Arial" w:hAnsi="Arial" w:cs="Arial"/>
        </w:rPr>
      </w:pPr>
      <w:r>
        <w:rPr>
          <w:rFonts w:ascii="Arial" w:hAnsi="Arial" w:cs="Arial"/>
        </w:rPr>
        <w:t>13.2</w:t>
      </w:r>
      <w:r>
        <w:rPr>
          <w:rFonts w:hint="default" w:ascii="Arial" w:hAnsi="Arial" w:cs="Arial"/>
          <w:lang w:val="pt-BR"/>
        </w:rPr>
        <w:t xml:space="preserve"> </w:t>
      </w:r>
      <w:r>
        <w:rPr>
          <w:rFonts w:ascii="Arial" w:hAnsi="Arial" w:cs="Arial"/>
        </w:rPr>
        <w:t>A dotação relativa aos exercícios financeiros subsequentes será indicada após aprovação da Lei Orçamentária respectiva e liberação dos créditos correspondentes, mediante apostilamento.</w:t>
      </w:r>
    </w:p>
    <w:p w14:paraId="120C7BB4">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3C34E8E1">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00A10458">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03F2739F">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074A5C54">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4AC4B385">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9A5E52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0217FC09">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6D2C9166">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431F5E12">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459C19E">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89D31E9">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06E54F0">
      <w:pPr>
        <w:spacing w:before="120" w:after="120" w:line="276" w:lineRule="auto"/>
        <w:jc w:val="both"/>
        <w:rPr>
          <w:rFonts w:ascii="Arial" w:hAnsi="Arial" w:cs="Arial"/>
        </w:rPr>
      </w:pPr>
    </w:p>
    <w:p w14:paraId="01908919">
      <w:pPr>
        <w:spacing w:after="120" w:line="360" w:lineRule="auto"/>
        <w:ind w:right="-15"/>
        <w:jc w:val="right"/>
        <w:rPr>
          <w:rFonts w:ascii="Arial" w:hAnsi="Arial" w:cs="Arial"/>
        </w:rPr>
      </w:pPr>
      <w:r>
        <w:rPr>
          <w:rFonts w:ascii="Arial" w:hAnsi="Arial" w:cs="Arial"/>
        </w:rPr>
        <w:t>...........................................,  .......... de.......................................... de 2026.</w:t>
      </w:r>
    </w:p>
    <w:p w14:paraId="2C095078">
      <w:pPr>
        <w:spacing w:after="120"/>
        <w:jc w:val="center"/>
        <w:rPr>
          <w:rFonts w:ascii="Arial" w:hAnsi="Arial" w:cs="Arial"/>
          <w:bCs/>
        </w:rPr>
      </w:pPr>
      <w:bookmarkStart w:id="4" w:name="_GoBack"/>
      <w:bookmarkEnd w:id="4"/>
    </w:p>
    <w:p w14:paraId="0474FF7C">
      <w:pPr>
        <w:spacing w:after="120"/>
        <w:jc w:val="center"/>
        <w:rPr>
          <w:rFonts w:ascii="Arial" w:hAnsi="Arial" w:cs="Arial"/>
          <w:bCs/>
        </w:rPr>
      </w:pPr>
      <w:r>
        <w:rPr>
          <w:rFonts w:ascii="Arial" w:hAnsi="Arial" w:cs="Arial"/>
          <w:bCs/>
        </w:rPr>
        <w:t>_________________________</w:t>
      </w:r>
    </w:p>
    <w:p w14:paraId="1779E7D1">
      <w:pPr>
        <w:spacing w:after="120"/>
        <w:jc w:val="center"/>
        <w:rPr>
          <w:rFonts w:ascii="Arial" w:hAnsi="Arial" w:cs="Arial"/>
          <w:bCs/>
        </w:rPr>
      </w:pPr>
      <w:r>
        <w:rPr>
          <w:rFonts w:ascii="Arial" w:hAnsi="Arial" w:cs="Arial"/>
          <w:bCs/>
        </w:rPr>
        <w:t>Responsável legal da CONTRATANTE</w:t>
      </w:r>
    </w:p>
    <w:p w14:paraId="55DB71F9">
      <w:pPr>
        <w:spacing w:after="120"/>
        <w:jc w:val="center"/>
        <w:rPr>
          <w:rFonts w:ascii="Arial" w:hAnsi="Arial" w:cs="Arial"/>
        </w:rPr>
      </w:pPr>
    </w:p>
    <w:p w14:paraId="3ABEFBC1">
      <w:pPr>
        <w:spacing w:after="120"/>
        <w:jc w:val="center"/>
        <w:rPr>
          <w:rFonts w:ascii="Arial" w:hAnsi="Arial" w:cs="Arial"/>
        </w:rPr>
      </w:pPr>
      <w:r>
        <w:rPr>
          <w:rFonts w:ascii="Arial" w:hAnsi="Arial" w:cs="Arial"/>
        </w:rPr>
        <w:t>_________________________</w:t>
      </w:r>
    </w:p>
    <w:p w14:paraId="4BCCED7F">
      <w:pPr>
        <w:spacing w:after="120"/>
        <w:jc w:val="center"/>
        <w:rPr>
          <w:rFonts w:ascii="Arial" w:hAnsi="Arial" w:cs="Arial"/>
        </w:rPr>
      </w:pPr>
      <w:r>
        <w:rPr>
          <w:rFonts w:ascii="Arial" w:hAnsi="Arial" w:cs="Arial"/>
        </w:rPr>
        <w:t>Responsável legal da CONTRATADA</w:t>
      </w:r>
    </w:p>
    <w:p w14:paraId="102AB38A">
      <w:pPr>
        <w:spacing w:after="120"/>
        <w:jc w:val="both"/>
        <w:rPr>
          <w:rFonts w:ascii="Arial" w:hAnsi="Arial" w:cs="Arial"/>
        </w:rPr>
      </w:pPr>
    </w:p>
    <w:p w14:paraId="5D57D0AF">
      <w:pPr>
        <w:spacing w:after="120"/>
        <w:jc w:val="both"/>
        <w:rPr>
          <w:rFonts w:ascii="Arial" w:hAnsi="Arial" w:cs="Arial"/>
        </w:rPr>
      </w:pPr>
      <w:r>
        <w:rPr>
          <w:rFonts w:ascii="Arial" w:hAnsi="Arial" w:cs="Arial"/>
        </w:rPr>
        <w:t>TESTEMUNHAS:</w:t>
      </w:r>
    </w:p>
    <w:p w14:paraId="373B24F2">
      <w:pPr>
        <w:spacing w:after="120"/>
        <w:jc w:val="both"/>
        <w:rPr>
          <w:rFonts w:ascii="Arial" w:hAnsi="Arial" w:cs="Arial"/>
        </w:rPr>
      </w:pPr>
      <w:r>
        <w:rPr>
          <w:rFonts w:ascii="Arial" w:hAnsi="Arial" w:cs="Arial"/>
        </w:rPr>
        <w:t>1-</w:t>
      </w:r>
    </w:p>
    <w:p w14:paraId="51FDAB19">
      <w:pPr>
        <w:spacing w:after="120"/>
        <w:jc w:val="both"/>
        <w:rPr>
          <w:rFonts w:ascii="Arial" w:hAnsi="Arial" w:cs="Arial"/>
        </w:rPr>
      </w:pPr>
      <w:r>
        <w:rPr>
          <w:rFonts w:ascii="Arial" w:hAnsi="Arial" w:cs="Arial"/>
        </w:rPr>
        <w:t>2-</w:t>
      </w:r>
    </w:p>
    <w:p w14:paraId="532382A8">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6C17">
    <w:pPr>
      <w:pStyle w:val="15"/>
      <w:jc w:val="center"/>
      <w:rPr>
        <w:rFonts w:ascii="Azo Sans Md" w:hAnsi="Azo Sans Md"/>
        <w:b/>
        <w:bCs/>
        <w:color w:val="000000"/>
        <w:sz w:val="18"/>
        <w:szCs w:val="18"/>
      </w:rPr>
    </w:pPr>
  </w:p>
  <w:p w14:paraId="435CF93D">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54C62DEB">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6389BFA5">
    <w:pPr>
      <w:pStyle w:val="15"/>
      <w:jc w:val="center"/>
      <w:rPr>
        <w:rFonts w:ascii="Arial" w:hAnsi="Arial" w:cs="Arial"/>
        <w:color w:val="000000"/>
        <w:sz w:val="18"/>
        <w:szCs w:val="18"/>
      </w:rPr>
    </w:pPr>
    <w:r>
      <w:rPr>
        <w:rFonts w:ascii="Arial" w:hAnsi="Arial" w:cs="Arial"/>
        <w:color w:val="000000"/>
        <w:sz w:val="18"/>
        <w:szCs w:val="18"/>
      </w:rPr>
      <w:t>(22) 2525-9101</w:t>
    </w:r>
  </w:p>
  <w:p w14:paraId="51BD31BF">
    <w:pPr>
      <w:pStyle w:val="15"/>
      <w:jc w:val="center"/>
      <w:rPr>
        <w:rFonts w:ascii="Arial" w:hAnsi="Arial" w:cs="Arial"/>
        <w:color w:val="000000"/>
        <w:sz w:val="18"/>
        <w:szCs w:val="18"/>
      </w:rPr>
    </w:pPr>
  </w:p>
  <w:p w14:paraId="02A9EEA9">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4AB42">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7EF25">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BB34">
    <w:pPr>
      <w:pStyle w:val="14"/>
      <w:ind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39130" cy="1163320"/>
          <wp:effectExtent l="0" t="0" r="0" b="0"/>
          <wp:docPr id="1" name="Imagem 1" descr="Secretaria de Educaç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Educação"/>
                  <pic:cNvPicPr>
                    <a:picLocks noChangeAspect="1"/>
                  </pic:cNvPicPr>
                </pic:nvPicPr>
                <pic:blipFill>
                  <a:blip r:embed="rId1"/>
                  <a:stretch>
                    <a:fillRect/>
                  </a:stretch>
                </pic:blipFill>
                <pic:spPr>
                  <a:xfrm>
                    <a:off x="0" y="0"/>
                    <a:ext cx="5739130" cy="1163320"/>
                  </a:xfrm>
                  <a:prstGeom prst="rect">
                    <a:avLst/>
                  </a:prstGeom>
                </pic:spPr>
              </pic:pic>
            </a:graphicData>
          </a:graphic>
        </wp:inline>
      </w:drawing>
    </w:r>
  </w:p>
  <w:p w14:paraId="26225F3B">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07320C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94CD">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A7B4F">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b/>
        <w:bCs/>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10807BA2"/>
    <w:rsid w:val="11B161D3"/>
    <w:rsid w:val="11CC2ACE"/>
    <w:rsid w:val="15CA3057"/>
    <w:rsid w:val="1AF72D93"/>
    <w:rsid w:val="1C2660B8"/>
    <w:rsid w:val="1FD12E07"/>
    <w:rsid w:val="27094203"/>
    <w:rsid w:val="30F2365A"/>
    <w:rsid w:val="39547127"/>
    <w:rsid w:val="3AF571AA"/>
    <w:rsid w:val="3B6B5A08"/>
    <w:rsid w:val="3C4D19A5"/>
    <w:rsid w:val="3C9967A2"/>
    <w:rsid w:val="3D361311"/>
    <w:rsid w:val="4056719A"/>
    <w:rsid w:val="4B4865EB"/>
    <w:rsid w:val="501F24D5"/>
    <w:rsid w:val="54CE266B"/>
    <w:rsid w:val="5C237373"/>
    <w:rsid w:val="623C6820"/>
    <w:rsid w:val="655965EF"/>
    <w:rsid w:val="67595706"/>
    <w:rsid w:val="68532C20"/>
    <w:rsid w:val="6C4E553D"/>
    <w:rsid w:val="6D596E81"/>
    <w:rsid w:val="6E372E5F"/>
    <w:rsid w:val="72A314DB"/>
    <w:rsid w:val="73037582"/>
    <w:rsid w:val="749B1192"/>
    <w:rsid w:val="75B23EEA"/>
    <w:rsid w:val="77B2358A"/>
    <w:rsid w:val="78E90328"/>
    <w:rsid w:val="7E0726E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paragraph" w:customStyle="1" w:styleId="61">
    <w:name w:val="Conteúdo da tabela (user)"/>
    <w:basedOn w:val="1"/>
    <w:qFormat/>
    <w:uiPriority w:val="0"/>
    <w:pPr>
      <w:widowControl w:val="0"/>
      <w:suppressLineNumbers/>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16</Pages>
  <Words>5363</Words>
  <Characters>28963</Characters>
  <Lines>241</Lines>
  <Paragraphs>68</Paragraphs>
  <TotalTime>3</TotalTime>
  <ScaleCrop>false</ScaleCrop>
  <LinksUpToDate>false</LinksUpToDate>
  <CharactersWithSpaces>34258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eveline.fonseca</cp:lastModifiedBy>
  <cp:lastPrinted>2023-08-22T17:19:00Z</cp:lastPrinted>
  <dcterms:modified xsi:type="dcterms:W3CDTF">2026-03-11T13:51:28Z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AA5E36BE2C9D4DA8923CD79FAA21EA6C_12</vt:lpwstr>
  </property>
</Properties>
</file>